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6.png" ContentType="image/png"/>
  <Override PartName="/word/media/rId69.png" ContentType="image/png"/>
  <Override PartName="/word/media/rId73.png" ContentType="image/png"/>
  <Override PartName="/word/media/rId76.png" ContentType="image/png"/>
  <Override PartName="/word/media/rId90.png" ContentType="image/png"/>
  <Override PartName="/word/media/rId94.png" ContentType="image/png"/>
  <Override PartName="/word/media/rId98.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28.png" ContentType="image/png"/>
  <Override PartName="/word/media/rId31.png" ContentType="image/png"/>
  <Override PartName="/word/media/rId36.png" ContentType="image/png"/>
  <Override PartName="/word/media/rId39.png" ContentType="image/png"/>
  <Override PartName="/word/media/rId43.png" ContentType="image/png"/>
  <Override PartName="/word/media/rId46.png" ContentType="image/png"/>
  <Override PartName="/word/media/rId51.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 strategies on High Frequency Data</w:t>
      </w:r>
    </w:p>
    <w:p>
      <w:pPr>
        <w:pStyle w:val="Subtitle"/>
      </w:pPr>
      <w:r>
        <w:t xml:space="preserve">Final report</w:t>
      </w:r>
    </w:p>
    <w:p>
      <w:pPr>
        <w:pStyle w:val="Author"/>
      </w:pPr>
      <w:r>
        <w:t xml:space="preserve">Sujith Madesh and Kacper Mosoń</w:t>
      </w:r>
    </w:p>
    <w:p>
      <w:pPr>
        <w:pStyle w:val="Date"/>
      </w:pPr>
      <w:r>
        <w:t xml:space="preserve">Jan 24, 2026</w:t>
      </w:r>
    </w:p>
    <w:bookmarkStart w:id="82" w:name="group-1"/>
    <w:p>
      <w:pPr>
        <w:pStyle w:val="Heading1"/>
      </w:pPr>
      <w:r>
        <w:t xml:space="preserve">Group 1</w:t>
      </w:r>
    </w:p>
    <w:bookmarkStart w:id="24" w:name="approaches-undertaken"/>
    <w:p>
      <w:pPr>
        <w:pStyle w:val="Heading2"/>
      </w:pPr>
      <w:r>
        <w:t xml:space="preserve">Approaches undertaken</w:t>
      </w:r>
    </w:p>
    <w:p>
      <w:pPr>
        <w:pStyle w:val="FirstParagraph"/>
      </w:pPr>
      <w:r>
        <w:t xml:space="preserve">We tested three intraday, rule‑based strategies on high‑frequency futures data for</w:t>
      </w:r>
      <w:r>
        <w:t xml:space="preserve"> </w:t>
      </w:r>
      <w:r>
        <w:rPr>
          <w:b/>
          <w:bCs/>
        </w:rPr>
        <w:t xml:space="preserve">Group 1 (NQ, SP)</w:t>
      </w:r>
      <w:r>
        <w:t xml:space="preserve">. For each strategy we evaluate performance</w:t>
      </w:r>
      <w:r>
        <w:t xml:space="preserve"> </w:t>
      </w:r>
      <w:r>
        <w:rPr>
          <w:b/>
          <w:bCs/>
        </w:rPr>
        <w:t xml:space="preserve">quarter by quarter</w:t>
      </w:r>
      <w:r>
        <w:t xml:space="preserve">, report gross vs net metrics (with transaction costs), and select a final parameter set using an explicit</w:t>
      </w:r>
      <w:r>
        <w:t xml:space="preserve"> </w:t>
      </w:r>
      <w:r>
        <w:rPr>
          <w:b/>
          <w:bCs/>
        </w:rPr>
        <w:t xml:space="preserve">in‑sample</w:t>
      </w:r>
      <w:r>
        <w:t xml:space="preserve"> </w:t>
      </w:r>
      <w:r>
        <w:t xml:space="preserve">period to avoid look‑ahead.</w:t>
      </w:r>
    </w:p>
    <w:bookmarkStart w:id="20" w:name="X644b6099a7ff6c4b4b45827ea7fab866680c686"/>
    <w:p>
      <w:pPr>
        <w:pStyle w:val="Heading3"/>
      </w:pPr>
      <w:r>
        <w:t xml:space="preserve">Common assumptions (applied to all strategies)</w:t>
      </w:r>
    </w:p>
    <w:p>
      <w:pPr>
        <w:pStyle w:val="Compact"/>
        <w:numPr>
          <w:ilvl w:val="0"/>
          <w:numId w:val="1001"/>
        </w:numPr>
      </w:pPr>
      <w:r>
        <w:rPr>
          <w:b/>
          <w:bCs/>
        </w:rPr>
        <w:t xml:space="preserve">No look‑ahead:</w:t>
      </w:r>
      <w:r>
        <w:t xml:space="preserve"> </w:t>
      </w:r>
      <w:r>
        <w:t xml:space="preserve">signals are translated into positions with a one‑bar delay (we only trade using information available at t−1).</w:t>
      </w:r>
    </w:p>
    <w:p>
      <w:pPr>
        <w:pStyle w:val="Compact"/>
        <w:numPr>
          <w:ilvl w:val="0"/>
          <w:numId w:val="1001"/>
        </w:numPr>
      </w:pPr>
      <w:r>
        <w:rPr>
          <w:b/>
          <w:bCs/>
        </w:rPr>
        <w:t xml:space="preserve">Trading window constraints / filtering:</w:t>
      </w:r>
      <w:r>
        <w:t xml:space="preserve"> </w:t>
      </w:r>
      <w:r>
        <w:t xml:space="preserve">we use a</w:t>
      </w:r>
      <w:r>
        <w:t xml:space="preserve"> </w:t>
      </w:r>
      <w:r>
        <w:rPr>
          <w:rStyle w:val="VerbatimChar"/>
        </w:rPr>
        <w:t xml:space="preserve">no_trade</w:t>
      </w:r>
      <w:r>
        <w:t xml:space="preserve"> </w:t>
      </w:r>
      <w:r>
        <w:t xml:space="preserve">flag (built during data preparation) to force positions flat around the open/close and other excluded minutes. When</w:t>
      </w:r>
      <w:r>
        <w:t xml:space="preserve"> </w:t>
      </w:r>
      <w:r>
        <w:rPr>
          <w:rStyle w:val="VerbatimChar"/>
        </w:rPr>
        <w:t xml:space="preserve">no_trade==1</w:t>
      </w:r>
      <w:r>
        <w:t xml:space="preserve">, position is set to 0.</w:t>
      </w:r>
    </w:p>
    <w:p>
      <w:pPr>
        <w:pStyle w:val="Compact"/>
        <w:numPr>
          <w:ilvl w:val="0"/>
          <w:numId w:val="1001"/>
        </w:numPr>
      </w:pPr>
      <w:r>
        <w:rPr>
          <w:b/>
          <w:bCs/>
        </w:rPr>
        <w:t xml:space="preserve">Transaction costs:</w:t>
      </w:r>
      <w:r>
        <w:t xml:space="preserve"> </w:t>
      </w:r>
      <w:r>
        <w:t xml:space="preserve">each position change incurs a fixed per‑contract cost; we report both</w:t>
      </w:r>
      <w:r>
        <w:t xml:space="preserve"> </w:t>
      </w:r>
      <w:r>
        <w:rPr>
          <w:b/>
          <w:bCs/>
        </w:rPr>
        <w:t xml:space="preserve">gross</w:t>
      </w:r>
      <w:r>
        <w:t xml:space="preserve"> </w:t>
      </w:r>
      <w:r>
        <w:t xml:space="preserve">and</w:t>
      </w:r>
      <w:r>
        <w:t xml:space="preserve"> </w:t>
      </w:r>
      <w:r>
        <w:rPr>
          <w:b/>
          <w:bCs/>
        </w:rPr>
        <w:t xml:space="preserve">net</w:t>
      </w:r>
      <w:r>
        <w:t xml:space="preserve"> </w:t>
      </w:r>
      <w:r>
        <w:t xml:space="preserve">PnL/Sharpe/Calmar.</w:t>
      </w:r>
    </w:p>
    <w:p>
      <w:pPr>
        <w:pStyle w:val="Compact"/>
        <w:numPr>
          <w:ilvl w:val="0"/>
          <w:numId w:val="1001"/>
        </w:numPr>
      </w:pPr>
      <w:r>
        <w:rPr>
          <w:b/>
          <w:bCs/>
        </w:rPr>
        <w:t xml:space="preserve">Aggregation:</w:t>
      </w:r>
      <w:r>
        <w:t xml:space="preserve"> </w:t>
      </w:r>
      <w:r>
        <w:t xml:space="preserve">minute PnL is aggregated to daily PnL to compute Sharpe ratio and drawdowns more robustly.</w:t>
      </w:r>
    </w:p>
    <w:bookmarkEnd w:id="20"/>
    <w:bookmarkStart w:id="22" w:name="group-1-nq-sp-strategies-considered"/>
    <w:p>
      <w:pPr>
        <w:pStyle w:val="Heading3"/>
      </w:pPr>
      <w:r>
        <w:t xml:space="preserve">Group 1 (NQ, SP): strategies considered</w:t>
      </w:r>
    </w:p>
    <w:p>
      <w:pPr>
        <w:pStyle w:val="FirstParagraph"/>
      </w:pPr>
      <w:r>
        <w:rPr>
          <w:b/>
          <w:bCs/>
        </w:rPr>
        <w:t xml:space="preserve">Strategy 1 — EMA crossover (trend following)</w:t>
      </w:r>
    </w:p>
    <w:p>
      <w:pPr>
        <w:pStyle w:val="Compact"/>
        <w:numPr>
          <w:ilvl w:val="0"/>
          <w:numId w:val="1002"/>
        </w:numPr>
      </w:pPr>
      <w:r>
        <w:rPr>
          <w:b/>
          <w:bCs/>
        </w:rPr>
        <w:t xml:space="preserve">Signal:</w:t>
      </w:r>
      <w:r>
        <w:t xml:space="preserve"> </w:t>
      </w:r>
      <w:r>
        <w:t xml:space="preserve">fast EMA vs slow EMA on price.</w:t>
      </w:r>
    </w:p>
    <w:p>
      <w:pPr>
        <w:pStyle w:val="Compact"/>
        <w:numPr>
          <w:ilvl w:val="0"/>
          <w:numId w:val="1002"/>
        </w:numPr>
      </w:pPr>
      <w:r>
        <w:rPr>
          <w:b/>
          <w:bCs/>
        </w:rPr>
        <w:t xml:space="preserve">Entry/exit:</w:t>
      </w:r>
      <w:r>
        <w:t xml:space="preserve"> </w:t>
      </w:r>
      <w:r>
        <w:t xml:space="preserve">go long when fast EMA crosses above slow EMA; go short when fast crosses below slow (position flips on crossing).</w:t>
      </w:r>
    </w:p>
    <w:p>
      <w:pPr>
        <w:pStyle w:val="Compact"/>
        <w:numPr>
          <w:ilvl w:val="0"/>
          <w:numId w:val="1002"/>
        </w:numPr>
      </w:pPr>
      <w:r>
        <w:rPr>
          <w:b/>
          <w:bCs/>
        </w:rPr>
        <w:t xml:space="preserve">Parameters searched (grid):</w:t>
      </w:r>
    </w:p>
    <w:p>
      <w:pPr>
        <w:pStyle w:val="Compact"/>
        <w:numPr>
          <w:ilvl w:val="1"/>
          <w:numId w:val="1003"/>
        </w:numPr>
      </w:pPr>
      <w:r>
        <w:rPr>
          <w:rStyle w:val="VerbatimChar"/>
        </w:rPr>
        <w:t xml:space="preserve">fastEMA ∈ {15, 20, 30, 45, 60, 75}</w:t>
      </w:r>
    </w:p>
    <w:p>
      <w:pPr>
        <w:pStyle w:val="Compact"/>
        <w:numPr>
          <w:ilvl w:val="1"/>
          <w:numId w:val="1003"/>
        </w:numPr>
      </w:pPr>
      <w:r>
        <w:rPr>
          <w:rStyle w:val="VerbatimChar"/>
        </w:rPr>
        <w:t xml:space="preserve">slowEMA ∈ {90, 120, 150, 180, 240, 300, 360}</w:t>
      </w:r>
    </w:p>
    <w:p>
      <w:pPr>
        <w:pStyle w:val="Compact"/>
        <w:numPr>
          <w:ilvl w:val="1"/>
          <w:numId w:val="1003"/>
        </w:numPr>
      </w:pPr>
      <w:r>
        <w:t xml:space="preserve">Constraint</w:t>
      </w:r>
      <w:r>
        <w:t xml:space="preserve"> </w:t>
      </w:r>
      <w:r>
        <w:rPr>
          <w:rStyle w:val="VerbatimChar"/>
        </w:rPr>
        <w:t xml:space="preserve">fastEMA &lt; slowEMA</w:t>
      </w:r>
    </w:p>
    <w:p>
      <w:pPr>
        <w:pStyle w:val="Compact"/>
        <w:numPr>
          <w:ilvl w:val="0"/>
          <w:numId w:val="1002"/>
        </w:numPr>
      </w:pPr>
      <w:r>
        <w:rPr>
          <w:b/>
          <w:bCs/>
        </w:rPr>
        <w:t xml:space="preserve">Variants:</w:t>
      </w:r>
      <w:r>
        <w:t xml:space="preserve"> </w:t>
      </w:r>
      <w:r>
        <w:t xml:space="preserve">we evaluate both</w:t>
      </w:r>
      <w:r>
        <w:t xml:space="preserve"> </w:t>
      </w:r>
      <w:r>
        <w:rPr>
          <w:b/>
          <w:bCs/>
        </w:rPr>
        <w:t xml:space="preserve">MOM</w:t>
      </w:r>
      <w:r>
        <w:t xml:space="preserve"> </w:t>
      </w:r>
      <w:r>
        <w:t xml:space="preserve">(trend-following) and</w:t>
      </w:r>
      <w:r>
        <w:t xml:space="preserve"> </w:t>
      </w:r>
      <w:r>
        <w:rPr>
          <w:b/>
          <w:bCs/>
        </w:rPr>
        <w:t xml:space="preserve">MR</w:t>
      </w:r>
      <w:r>
        <w:t xml:space="preserve"> </w:t>
      </w:r>
      <w:r>
        <w:t xml:space="preserve">(sign-flipped contrarian) using the same signal.</w:t>
      </w:r>
    </w:p>
    <w:p>
      <w:pPr>
        <w:pStyle w:val="FirstParagraph"/>
      </w:pPr>
      <w:r>
        <w:rPr>
          <w:b/>
          <w:bCs/>
        </w:rPr>
        <w:t xml:space="preserve">Strategy 2 — Volatility Breakout (VB 2.2: EMA + volatility bands)</w:t>
      </w:r>
    </w:p>
    <w:p>
      <w:pPr>
        <w:pStyle w:val="Compact"/>
        <w:numPr>
          <w:ilvl w:val="0"/>
          <w:numId w:val="1004"/>
        </w:numPr>
      </w:pPr>
      <w:r>
        <w:rPr>
          <w:b/>
          <w:bCs/>
        </w:rPr>
        <w:t xml:space="preserve">Signal:</w:t>
      </w:r>
      <w:r>
        <w:t xml:space="preserve"> </w:t>
      </w:r>
      <w:r>
        <w:t xml:space="preserve">fast EMA signal</w:t>
      </w:r>
      <w:r>
        <w:t xml:space="preserve"> </w:t>
      </w:r>
      <m:oMath>
        <m:sSub>
          <m:e>
            <m:r>
              <m:t>s</m:t>
            </m:r>
          </m:e>
          <m:sub>
            <m:r>
              <m:t>t</m:t>
            </m:r>
          </m:sub>
        </m:sSub>
      </m:oMath>
      <w:r>
        <w:t xml:space="preserve">, slow EMA center</w:t>
      </w:r>
      <w:r>
        <w:t xml:space="preserve"> </w:t>
      </w:r>
      <m:oMath>
        <m:sSub>
          <m:e>
            <m:r>
              <m:rPr>
                <m:sty m:val="p"/>
              </m:rPr>
              <m:t>ℓ</m:t>
            </m:r>
          </m:e>
          <m:sub>
            <m:r>
              <m:t>t</m:t>
            </m:r>
          </m:sub>
        </m:sSub>
      </m:oMath>
      <w:r>
        <w:t xml:space="preserve">, rolling volatility</w:t>
      </w:r>
      <w:r>
        <w:t xml:space="preserve"> </w:t>
      </w:r>
      <m:oMath>
        <m:sSub>
          <m:e>
            <m:r>
              <m:t>σ</m:t>
            </m:r>
          </m:e>
          <m:sub>
            <m:r>
              <m:t>t</m:t>
            </m:r>
          </m:sub>
        </m:sSub>
      </m:oMath>
      <w:r>
        <w:t xml:space="preserve">.</w:t>
      </w:r>
    </w:p>
    <w:p>
      <w:pPr>
        <w:pStyle w:val="Compact"/>
        <w:numPr>
          <w:ilvl w:val="0"/>
          <w:numId w:val="1004"/>
        </w:numPr>
      </w:pPr>
      <w:r>
        <w:rPr>
          <w:b/>
          <w:bCs/>
        </w:rPr>
        <w:t xml:space="preserve">Entry/exit:</w:t>
      </w:r>
      <w:r>
        <w:t xml:space="preserve"> </w:t>
      </w:r>
      <w:r>
        <w:t xml:space="preserve">enter when</w:t>
      </w:r>
      <w:r>
        <w:t xml:space="preserve"> </w:t>
      </w:r>
      <m:oMath>
        <m:sSub>
          <m:e>
            <m:r>
              <m:t>s</m:t>
            </m:r>
          </m:e>
          <m:sub>
            <m:r>
              <m:t>t</m:t>
            </m:r>
          </m:sub>
        </m:sSub>
      </m:oMath>
      <w:r>
        <w:t xml:space="preserve"> </w:t>
      </w:r>
      <w:r>
        <w:t xml:space="preserve">breaks above</w:t>
      </w:r>
      <w:r>
        <w:t xml:space="preserve"> </w:t>
      </w:r>
      <m:oMath>
        <m:sSub>
          <m:e>
            <m:r>
              <m:t>U</m:t>
            </m:r>
          </m:e>
          <m:sub>
            <m:r>
              <m:t>t</m:t>
            </m:r>
          </m:sub>
        </m:sSub>
        <m:r>
          <m:rPr>
            <m:sty m:val="p"/>
          </m:rPr>
          <m:t>=</m:t>
        </m:r>
        <m:sSub>
          <m:e>
            <m:r>
              <m:rPr>
                <m:sty m:val="p"/>
              </m:rPr>
              <m:t>ℓ</m:t>
            </m:r>
          </m:e>
          <m:sub>
            <m:r>
              <m:t>t</m:t>
            </m:r>
          </m:sub>
        </m:sSub>
        <m:r>
          <m:rPr>
            <m:sty m:val="p"/>
          </m:rPr>
          <m:t>+</m:t>
        </m:r>
        <m:r>
          <m:t>m</m:t>
        </m:r>
        <m:sSub>
          <m:e>
            <m:r>
              <m:t>σ</m:t>
            </m:r>
          </m:e>
          <m:sub>
            <m:r>
              <m:t>t</m:t>
            </m:r>
          </m:sub>
        </m:sSub>
      </m:oMath>
      <w:r>
        <w:t xml:space="preserve"> </w:t>
      </w:r>
      <w:r>
        <w:t xml:space="preserve">or below</w:t>
      </w:r>
      <w:r>
        <w:t xml:space="preserve"> </w:t>
      </w:r>
      <m:oMath>
        <m:sSub>
          <m:e>
            <m:r>
              <m:t>L</m:t>
            </m:r>
          </m:e>
          <m:sub>
            <m:r>
              <m:t>t</m:t>
            </m:r>
          </m:sub>
        </m:sSub>
        <m:r>
          <m:rPr>
            <m:sty m:val="p"/>
          </m:rPr>
          <m:t>=</m:t>
        </m:r>
        <m:sSub>
          <m:e>
            <m:r>
              <m:rPr>
                <m:sty m:val="p"/>
              </m:rPr>
              <m:t>ℓ</m:t>
            </m:r>
          </m:e>
          <m:sub>
            <m:r>
              <m:t>t</m:t>
            </m:r>
          </m:sub>
        </m:sSub>
        <m:r>
          <m:rPr>
            <m:sty m:val="p"/>
          </m:rPr>
          <m:t>−</m:t>
        </m:r>
        <m:r>
          <m:t>m</m:t>
        </m:r>
        <m:sSub>
          <m:e>
            <m:r>
              <m:t>σ</m:t>
            </m:r>
          </m:e>
          <m:sub>
            <m:r>
              <m:t>t</m:t>
            </m:r>
          </m:sub>
        </m:sSub>
      </m:oMath>
      <w:r>
        <w:t xml:space="preserve">; hold until the opposite band is crossed or the flat constraint forces exit.</w:t>
      </w:r>
    </w:p>
    <w:p>
      <w:pPr>
        <w:pStyle w:val="Compact"/>
        <w:numPr>
          <w:ilvl w:val="0"/>
          <w:numId w:val="1004"/>
        </w:numPr>
      </w:pPr>
      <w:r>
        <w:rPr>
          <w:b/>
          <w:bCs/>
        </w:rPr>
        <w:t xml:space="preserve">Variants:</w:t>
      </w:r>
    </w:p>
    <w:p>
      <w:pPr>
        <w:pStyle w:val="Compact"/>
        <w:numPr>
          <w:ilvl w:val="1"/>
          <w:numId w:val="1005"/>
        </w:numPr>
      </w:pPr>
      <w:r>
        <w:rPr>
          <w:b/>
          <w:bCs/>
        </w:rPr>
        <w:t xml:space="preserve">MOM:</w:t>
      </w:r>
      <w:r>
        <w:t xml:space="preserve"> </w:t>
      </w:r>
      <w:r>
        <w:t xml:space="preserve">follow the breakout direction.</w:t>
      </w:r>
    </w:p>
    <w:p>
      <w:pPr>
        <w:pStyle w:val="Compact"/>
        <w:numPr>
          <w:ilvl w:val="1"/>
          <w:numId w:val="1005"/>
        </w:numPr>
      </w:pPr>
      <w:r>
        <w:rPr>
          <w:b/>
          <w:bCs/>
        </w:rPr>
        <w:t xml:space="preserve">MR:</w:t>
      </w:r>
      <w:r>
        <w:t xml:space="preserve"> </w:t>
      </w:r>
      <w:r>
        <w:t xml:space="preserve">take the opposite side (fade the breakout) when the regime is mean‑reverting.</w:t>
      </w:r>
    </w:p>
    <w:p>
      <w:pPr>
        <w:pStyle w:val="Compact"/>
        <w:numPr>
          <w:ilvl w:val="0"/>
          <w:numId w:val="1004"/>
        </w:numPr>
      </w:pPr>
      <w:r>
        <w:rPr>
          <w:b/>
          <w:bCs/>
        </w:rPr>
        <w:t xml:space="preserve">Parameters searched (grid):</w:t>
      </w:r>
    </w:p>
    <w:p>
      <w:pPr>
        <w:pStyle w:val="Compact"/>
        <w:numPr>
          <w:ilvl w:val="1"/>
          <w:numId w:val="1006"/>
        </w:numPr>
      </w:pPr>
      <w:r>
        <w:rPr>
          <w:rStyle w:val="VerbatimChar"/>
        </w:rPr>
        <w:t xml:space="preserve">signalEMA ∈ {10, 20, 45, 60, 75, 90}</w:t>
      </w:r>
    </w:p>
    <w:p>
      <w:pPr>
        <w:pStyle w:val="Compact"/>
        <w:numPr>
          <w:ilvl w:val="1"/>
          <w:numId w:val="1006"/>
        </w:numPr>
      </w:pPr>
      <w:r>
        <w:rPr>
          <w:rStyle w:val="VerbatimChar"/>
        </w:rPr>
        <w:t xml:space="preserve">slowEMA ∈ {90, 120, 150, 180, 240}</w:t>
      </w:r>
      <w:r>
        <w:t xml:space="preserve"> </w:t>
      </w:r>
      <w:r>
        <w:t xml:space="preserve">with constraint</w:t>
      </w:r>
      <w:r>
        <w:t xml:space="preserve"> </w:t>
      </w:r>
      <w:r>
        <w:rPr>
          <w:rStyle w:val="VerbatimChar"/>
        </w:rPr>
        <w:t xml:space="preserve">signalEMA &lt; slowEMA</w:t>
      </w:r>
    </w:p>
    <w:p>
      <w:pPr>
        <w:pStyle w:val="Compact"/>
        <w:numPr>
          <w:ilvl w:val="1"/>
          <w:numId w:val="1006"/>
        </w:numPr>
      </w:pPr>
      <w:r>
        <w:rPr>
          <w:rStyle w:val="VerbatimChar"/>
        </w:rPr>
        <w:t xml:space="preserve">volat_sd ∈ {30, 60, 90}</w:t>
      </w:r>
      <w:r>
        <w:t xml:space="preserve"> </w:t>
      </w:r>
      <w:r>
        <w:t xml:space="preserve">(rolling standard deviation window)</w:t>
      </w:r>
    </w:p>
    <w:p>
      <w:pPr>
        <w:pStyle w:val="Compact"/>
        <w:numPr>
          <w:ilvl w:val="1"/>
          <w:numId w:val="1006"/>
        </w:numPr>
      </w:pPr>
      <w:r>
        <w:rPr>
          <w:rStyle w:val="VerbatimChar"/>
        </w:rPr>
        <w:t xml:space="preserve">m ∈ {1, 2, 3}</w:t>
      </w:r>
      <w:r>
        <w:t xml:space="preserve"> </w:t>
      </w:r>
      <w:r>
        <w:t xml:space="preserve">(band width multiplier)</w:t>
      </w:r>
    </w:p>
    <w:p>
      <w:pPr>
        <w:pStyle w:val="Compact"/>
        <w:numPr>
          <w:ilvl w:val="0"/>
          <w:numId w:val="1004"/>
        </w:numPr>
      </w:pPr>
      <w:r>
        <w:rPr>
          <w:b/>
          <w:bCs/>
        </w:rPr>
        <w:t xml:space="preserve">Implementation detail (our helper function):</w:t>
      </w:r>
      <w:r>
        <w:t xml:space="preserve"> </w:t>
      </w:r>
      <w:r>
        <w:t xml:space="preserve">instead of ad‑hoc position rules, we generate positions using our reusable helper</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The function takes arrays for</w:t>
      </w:r>
      <w:r>
        <w:t xml:space="preserve"> </w:t>
      </w:r>
      <w:r>
        <w:rPr>
          <w:rStyle w:val="VerbatimChar"/>
        </w:rPr>
        <w:t xml:space="preserve">(signal, lower, upper, pos_flat, strategy)</w:t>
      </w:r>
      <w:r>
        <w:t xml:space="preserve"> </w:t>
      </w:r>
      <w:r>
        <w:t xml:space="preserve">and returns a stateful position series that:</w:t>
      </w:r>
    </w:p>
    <w:p>
      <w:pPr>
        <w:pStyle w:val="Compact"/>
        <w:numPr>
          <w:ilvl w:val="1"/>
          <w:numId w:val="1007"/>
        </w:numPr>
      </w:pPr>
      <w:r>
        <w:t xml:space="preserve">enforces forced-flat periods via</w:t>
      </w:r>
      <w:r>
        <w:t xml:space="preserve"> </w:t>
      </w:r>
      <w:r>
        <w:rPr>
          <w:rStyle w:val="VerbatimChar"/>
        </w:rPr>
        <w:t xml:space="preserve">pos_flat</w:t>
      </w:r>
      <w:r>
        <w:t xml:space="preserve">,</w:t>
      </w:r>
    </w:p>
    <w:p>
      <w:pPr>
        <w:pStyle w:val="Compact"/>
        <w:numPr>
          <w:ilvl w:val="1"/>
          <w:numId w:val="1007"/>
        </w:numPr>
      </w:pPr>
      <w:r>
        <w:t xml:space="preserve">uses</w:t>
      </w:r>
      <w:r>
        <w:t xml:space="preserve"> </w:t>
      </w:r>
      <w:r>
        <w:rPr>
          <w:b/>
          <w:bCs/>
        </w:rPr>
        <w:t xml:space="preserve">t−1</w:t>
      </w:r>
      <w:r>
        <w:t xml:space="preserve"> </w:t>
      </w:r>
      <w:r>
        <w:t xml:space="preserve">values of the signal and bands to set the position at time t (prevents look-ahead),</w:t>
      </w:r>
    </w:p>
    <w:p>
      <w:pPr>
        <w:pStyle w:val="Compact"/>
        <w:numPr>
          <w:ilvl w:val="1"/>
          <w:numId w:val="1007"/>
        </w:numPr>
      </w:pPr>
      <w:r>
        <w:t xml:space="preserve">supports both</w:t>
      </w:r>
      <w:r>
        <w:t xml:space="preserve"> </w:t>
      </w:r>
      <w:r>
        <w:rPr>
          <w:b/>
          <w:bCs/>
        </w:rPr>
        <w:t xml:space="preserve">MOM</w:t>
      </w:r>
      <w:r>
        <w:t xml:space="preserve"> </w:t>
      </w:r>
      <w:r>
        <w:t xml:space="preserve">and</w:t>
      </w:r>
      <w:r>
        <w:t xml:space="preserve"> </w:t>
      </w:r>
      <w:r>
        <w:rPr>
          <w:b/>
          <w:bCs/>
        </w:rPr>
        <w:t xml:space="preserve">MR</w:t>
      </w:r>
      <w:r>
        <w:t xml:space="preserve"> </w:t>
      </w:r>
      <w:r>
        <w:t xml:space="preserve">via a strategy flag.</w:t>
      </w:r>
    </w:p>
    <w:p>
      <w:pPr>
        <w:pStyle w:val="FirstParagraph"/>
      </w:pPr>
      <w:r>
        <w:rPr>
          <w:b/>
          <w:bCs/>
        </w:rPr>
        <w:t xml:space="preserve">Strategy 3 — Risk‑filtered EMA / hybrid (RF‑EMA)</w:t>
      </w:r>
    </w:p>
    <w:p>
      <w:pPr>
        <w:pStyle w:val="Compact"/>
        <w:numPr>
          <w:ilvl w:val="0"/>
          <w:numId w:val="1008"/>
        </w:numPr>
      </w:pPr>
      <w:r>
        <w:rPr>
          <w:b/>
          <w:bCs/>
        </w:rPr>
        <w:t xml:space="preserve">Idea:</w:t>
      </w:r>
      <w:r>
        <w:t xml:space="preserve"> </w:t>
      </w:r>
      <w:r>
        <w:t xml:space="preserve">reduce crossover</w:t>
      </w:r>
      <w:r>
        <w:t xml:space="preserve"> </w:t>
      </w:r>
      <w:r>
        <w:t xml:space="preserve">“churn”</w:t>
      </w:r>
      <w:r>
        <w:t xml:space="preserve"> </w:t>
      </w:r>
      <w:r>
        <w:t xml:space="preserve">in sideways regimes by trading only when the EMA spread is large relative to recent volatility.</w:t>
      </w:r>
    </w:p>
    <w:p>
      <w:pPr>
        <w:pStyle w:val="Compact"/>
        <w:numPr>
          <w:ilvl w:val="0"/>
          <w:numId w:val="1008"/>
        </w:numPr>
      </w:pPr>
      <w:r>
        <w:rPr>
          <w:b/>
          <w:bCs/>
        </w:rPr>
        <w:t xml:space="preserve">Additional indicator:</w:t>
      </w:r>
    </w:p>
    <w:p>
      <w:pPr>
        <w:pStyle w:val="Compact"/>
        <w:numPr>
          <w:ilvl w:val="1"/>
          <w:numId w:val="1009"/>
        </w:numPr>
      </w:pPr>
      <w:r>
        <w:t xml:space="preserve">rolling volatility</w:t>
      </w:r>
      <w:r>
        <w:t xml:space="preserve"> </w:t>
      </w:r>
      <w:r>
        <w:rPr>
          <w:rStyle w:val="VerbatimChar"/>
        </w:rPr>
        <w:t xml:space="preserve">vSD = rolling_std(price, volat_sd)</w:t>
      </w:r>
    </w:p>
    <w:p>
      <w:pPr>
        <w:pStyle w:val="Compact"/>
        <w:numPr>
          <w:ilvl w:val="1"/>
          <w:numId w:val="1009"/>
        </w:numPr>
      </w:pPr>
      <w:r>
        <w:t xml:space="preserve">trend strength</w:t>
      </w:r>
      <w:r>
        <w:t xml:space="preserve"> </w:t>
      </w:r>
      <w:r>
        <w:rPr>
          <w:rStyle w:val="VerbatimChar"/>
        </w:rPr>
        <w:t xml:space="preserve">strength = |fast - slow| / vSD</w:t>
      </w:r>
    </w:p>
    <w:p>
      <w:pPr>
        <w:pStyle w:val="Compact"/>
        <w:numPr>
          <w:ilvl w:val="0"/>
          <w:numId w:val="1008"/>
        </w:numPr>
      </w:pPr>
      <w:r>
        <w:rPr>
          <w:b/>
          <w:bCs/>
        </w:rPr>
        <w:t xml:space="preserve">Entry/exit:</w:t>
      </w:r>
      <w:r>
        <w:t xml:space="preserve"> </w:t>
      </w:r>
      <w:r>
        <w:t xml:space="preserve">follow the EMA crossover direction</w:t>
      </w:r>
      <w:r>
        <w:t xml:space="preserve"> </w:t>
      </w:r>
      <w:r>
        <w:rPr>
          <w:b/>
          <w:bCs/>
        </w:rPr>
        <w:t xml:space="preserve">only if</w:t>
      </w:r>
      <w:r>
        <w:t xml:space="preserve"> </w:t>
      </w:r>
      <w:r>
        <w:rPr>
          <w:rStyle w:val="VerbatimChar"/>
        </w:rPr>
        <w:t xml:space="preserve">strength &gt; z_th</w:t>
      </w:r>
      <w:r>
        <w:t xml:space="preserve"> </w:t>
      </w:r>
      <w:r>
        <w:t xml:space="preserve">(otherwise remain flat). We also evaluate MR by flipping the position sign.</w:t>
      </w:r>
    </w:p>
    <w:p>
      <w:pPr>
        <w:pStyle w:val="Compact"/>
        <w:numPr>
          <w:ilvl w:val="0"/>
          <w:numId w:val="1008"/>
        </w:numPr>
      </w:pPr>
      <w:r>
        <w:rPr>
          <w:b/>
          <w:bCs/>
        </w:rPr>
        <w:t xml:space="preserve">Parameters searched (grid):</w:t>
      </w:r>
    </w:p>
    <w:p>
      <w:pPr>
        <w:pStyle w:val="Compact"/>
        <w:numPr>
          <w:ilvl w:val="1"/>
          <w:numId w:val="1010"/>
        </w:numPr>
      </w:pPr>
      <w:r>
        <w:rPr>
          <w:rStyle w:val="VerbatimChar"/>
        </w:rPr>
        <w:t xml:space="preserve">fastEMA ∈ {15, 20, 30, 45}</w:t>
      </w:r>
    </w:p>
    <w:p>
      <w:pPr>
        <w:pStyle w:val="Compact"/>
        <w:numPr>
          <w:ilvl w:val="1"/>
          <w:numId w:val="1010"/>
        </w:numPr>
      </w:pPr>
      <w:r>
        <w:rPr>
          <w:rStyle w:val="VerbatimChar"/>
        </w:rPr>
        <w:t xml:space="preserve">slowEMA ∈ {90, 120, 180, 240}</w:t>
      </w:r>
      <w:r>
        <w:t xml:space="preserve"> </w:t>
      </w:r>
      <w:r>
        <w:t xml:space="preserve">with constraint</w:t>
      </w:r>
      <w:r>
        <w:t xml:space="preserve"> </w:t>
      </w:r>
      <w:r>
        <w:rPr>
          <w:rStyle w:val="VerbatimChar"/>
        </w:rPr>
        <w:t xml:space="preserve">fastEMA &lt; slowEMA</w:t>
      </w:r>
    </w:p>
    <w:p>
      <w:pPr>
        <w:pStyle w:val="Compact"/>
        <w:numPr>
          <w:ilvl w:val="1"/>
          <w:numId w:val="1010"/>
        </w:numPr>
      </w:pPr>
      <w:r>
        <w:rPr>
          <w:rStyle w:val="VerbatimChar"/>
        </w:rPr>
        <w:t xml:space="preserve">volat_sd ∈ {30, 60, 90}</w:t>
      </w:r>
    </w:p>
    <w:p>
      <w:pPr>
        <w:pStyle w:val="Compact"/>
        <w:numPr>
          <w:ilvl w:val="1"/>
          <w:numId w:val="1010"/>
        </w:numPr>
      </w:pPr>
      <w:r>
        <w:rPr>
          <w:rStyle w:val="VerbatimChar"/>
        </w:rPr>
        <w:t xml:space="preserve">z_th ∈ {0.5, 1.0, 1.5, 2.0}</w:t>
      </w:r>
    </w:p>
    <w:bookmarkEnd w:id="22"/>
    <w:bookmarkStart w:id="23" w:name="X397e0707df455bffad0747f3f292d6dbd857cb7"/>
    <w:p>
      <w:pPr>
        <w:pStyle w:val="Heading3"/>
      </w:pPr>
      <w:r>
        <w:t xml:space="preserve">Parameter search and model selection (per group)</w:t>
      </w:r>
    </w:p>
    <w:p>
      <w:pPr>
        <w:numPr>
          <w:ilvl w:val="0"/>
          <w:numId w:val="1011"/>
        </w:numPr>
      </w:pPr>
      <w:r>
        <w:rPr>
          <w:b/>
          <w:bCs/>
        </w:rPr>
        <w:t xml:space="preserve">Quarterly backtests:</w:t>
      </w:r>
      <w:r>
        <w:t xml:space="preserve"> </w:t>
      </w:r>
      <w:r>
        <w:t xml:space="preserve">for each quarter, contract, and parameter combination we compute minute PnL and aggregate to daily PnL. We report gross/net Sharpe, gross/net Calmar, cumulative PnL, and average daily transactions.</w:t>
      </w:r>
    </w:p>
    <w:p>
      <w:pPr>
        <w:numPr>
          <w:ilvl w:val="0"/>
          <w:numId w:val="1011"/>
        </w:numPr>
      </w:pPr>
      <w:r>
        <w:rPr>
          <w:b/>
          <w:bCs/>
        </w:rPr>
        <w:t xml:space="preserve">Ranking statistic:</w:t>
      </w:r>
      <w:r>
        <w:t xml:space="preserve"> </w:t>
      </w:r>
      <w:r>
        <w:t xml:space="preserve">we compute an assignment statistic per quarter:</w:t>
      </w:r>
    </w:p>
    <w:p>
      <w:pPr>
        <w:pStyle w:val="BodyText"/>
      </w:pPr>
      <m:oMathPara>
        <m:oMathParaPr>
          <m:jc m:val="center"/>
        </m:oMathParaPr>
        <m:oMath>
          <m:r>
            <m:t>e</m:t>
          </m:r>
          <m:r>
            <m:t>x</m:t>
          </m:r>
          <m:r>
            <m:t>t</m:t>
          </m:r>
          <m:r>
            <m:t>s</m:t>
          </m:r>
          <m:r>
            <m:t>t</m:t>
          </m:r>
          <m:r>
            <m:t>a</m:t>
          </m:r>
          <m:r>
            <m:t>t</m:t>
          </m:r>
          <m:r>
            <m:rPr>
              <m:sty m:val="p"/>
            </m:rPr>
            <m:t>=</m:t>
          </m:r>
          <m:d>
            <m:dPr>
              <m:begChr m:val="("/>
              <m:sepChr m:val=""/>
              <m:endChr m:val=")"/>
              <m:grow/>
            </m:dPr>
            <m:e>
              <m:r>
                <m:rPr>
                  <m:nor/>
                  <m:sty m:val="p"/>
                </m:rPr>
                <m:t>netSR</m:t>
              </m:r>
              <m:r>
                <m:rPr>
                  <m:sty m:val="p"/>
                </m:rPr>
                <m:t>−</m:t>
              </m:r>
              <m:r>
                <m:t>0.5</m:t>
              </m:r>
            </m:e>
          </m:d>
          <m:r>
            <m:t> </m:t>
          </m:r>
          <m:r>
            <m:rPr>
              <m:sty m:val="p"/>
            </m:rPr>
            <m:t>max</m:t>
          </m:r>
          <m:r>
            <m:t>​</m:t>
          </m:r>
          <m:d>
            <m:dPr>
              <m:begChr m:val="("/>
              <m:sepChr m:val=""/>
              <m:endChr m:val=")"/>
              <m:grow/>
            </m:dPr>
            <m:e>
              <m:r>
                <m:t>0</m:t>
              </m:r>
              <m:r>
                <m:rPr>
                  <m:sty m:val="p"/>
                </m:rPr>
                <m:t>,</m:t>
              </m:r>
              <m:r>
                <m:t> </m:t>
              </m:r>
              <m:r>
                <m:rPr>
                  <m:sty m:val="p"/>
                </m:rPr>
                <m:t>ln</m:t>
              </m:r>
              <m:r>
                <m:t>​</m:t>
              </m:r>
              <m:d>
                <m:dPr>
                  <m:begChr m:val="("/>
                  <m:sepChr m:val=""/>
                  <m:endChr m:val=")"/>
                  <m:grow/>
                </m:dPr>
                <m:e>
                  <m:d>
                    <m:dPr>
                      <m:begChr m:val="|"/>
                      <m:sepChr m:val=""/>
                      <m:endChr m:val="|"/>
                      <m:grow/>
                    </m:dPr>
                    <m:e>
                      <m:f>
                        <m:fPr>
                          <m:type m:val="bar"/>
                        </m:fPr>
                        <m:num>
                          <m:r>
                            <m:rPr>
                              <m:nor/>
                              <m:sty m:val="p"/>
                            </m:rPr>
                            <m:t>netPnL</m:t>
                          </m:r>
                        </m:num>
                        <m:den>
                          <m:r>
                            <m:t>1000</m:t>
                          </m:r>
                        </m:den>
                      </m:f>
                    </m:e>
                  </m:d>
                </m:e>
              </m:d>
            </m:e>
          </m:d>
        </m:oMath>
      </m:oMathPara>
    </w:p>
    <w:p>
      <w:pPr>
        <w:numPr>
          <w:ilvl w:val="0"/>
          <w:numId w:val="1011"/>
        </w:numPr>
      </w:pPr>
      <w:r>
        <w:rPr>
          <w:b/>
          <w:bCs/>
        </w:rPr>
        <w:t xml:space="preserve">In-sample selection (avoid leakage):</w:t>
      </w:r>
    </w:p>
    <w:p>
      <w:pPr>
        <w:pStyle w:val="Compact"/>
        <w:numPr>
          <w:ilvl w:val="1"/>
          <w:numId w:val="1012"/>
        </w:numPr>
      </w:pPr>
      <w:r>
        <w:t xml:space="preserve">We define</w:t>
      </w:r>
      <w:r>
        <w:t xml:space="preserve"> </w:t>
      </w:r>
      <w:r>
        <w:rPr>
          <w:rStyle w:val="VerbatimChar"/>
        </w:rPr>
        <w:t xml:space="preserve">INSAMPLE_PERIODS</w:t>
      </w:r>
      <w:r>
        <w:t xml:space="preserve"> </w:t>
      </w:r>
      <w:r>
        <w:t xml:space="preserve">as the set of valid quarter labels in the dataset (excluding invalid labels like</w:t>
      </w:r>
      <w:r>
        <w:t xml:space="preserve"> </w:t>
      </w:r>
      <w:r>
        <w:rPr>
          <w:rStyle w:val="VerbatimChar"/>
        </w:rPr>
        <w:t xml:space="preserve">None</w:t>
      </w:r>
      <w:r>
        <w:t xml:space="preserve">/</w:t>
      </w:r>
      <w:r>
        <w:rPr>
          <w:rStyle w:val="VerbatimChar"/>
        </w:rPr>
        <w:t xml:space="preserve">nan</w:t>
      </w:r>
      <w:r>
        <w:t xml:space="preserve">).</w:t>
      </w:r>
    </w:p>
    <w:p>
      <w:pPr>
        <w:pStyle w:val="Compact"/>
        <w:numPr>
          <w:ilvl w:val="1"/>
          <w:numId w:val="1012"/>
        </w:numPr>
      </w:pPr>
      <w:r>
        <w:t xml:space="preserve">For each contract and each strategy family, we aggregate results across the in-sample quarters and select the configuration that maximizes</w:t>
      </w:r>
      <w:r>
        <w:t xml:space="preserve"> </w:t>
      </w:r>
      <w:r>
        <w:rPr>
          <w:b/>
          <w:bCs/>
        </w:rPr>
        <w:t xml:space="preserve">sum(stat)</w:t>
      </w:r>
      <w:r>
        <w:t xml:space="preserve">.</w:t>
      </w:r>
    </w:p>
    <w:p>
      <w:pPr>
        <w:pStyle w:val="Compact"/>
        <w:numPr>
          <w:ilvl w:val="1"/>
          <w:numId w:val="1012"/>
        </w:numPr>
      </w:pPr>
      <w:r>
        <w:t xml:space="preserve">We require that the chosen parameter set appears in</w:t>
      </w:r>
      <w:r>
        <w:t xml:space="preserve"> </w:t>
      </w:r>
      <w:r>
        <w:rPr>
          <w:b/>
          <w:bCs/>
        </w:rPr>
        <w:t xml:space="preserve">all</w:t>
      </w:r>
      <w:r>
        <w:t xml:space="preserve"> </w:t>
      </w:r>
      <w:r>
        <w:t xml:space="preserve">in-sample quarters for that contract (consistency constraint).</w:t>
      </w:r>
    </w:p>
    <w:p>
      <w:pPr>
        <w:pStyle w:val="Compact"/>
        <w:numPr>
          <w:ilvl w:val="1"/>
          <w:numId w:val="1012"/>
        </w:numPr>
      </w:pPr>
      <w:r>
        <w:t xml:space="preserve">To break ties, we apply a tiny turnover penalty:</w:t>
      </w:r>
      <w:r>
        <w:t xml:space="preserve"> </w:t>
      </w:r>
      <w:r>
        <w:rPr>
          <w:rStyle w:val="VerbatimChar"/>
        </w:rPr>
        <w:t xml:space="preserve">score = sum_stat − 0.001 * mean_turnover</w:t>
      </w:r>
      <w:r>
        <w:t xml:space="preserve">.</w:t>
      </w:r>
    </w:p>
    <w:p>
      <w:pPr>
        <w:pStyle w:val="Compact"/>
        <w:numPr>
          <w:ilvl w:val="1"/>
          <w:numId w:val="1012"/>
        </w:numPr>
      </w:pPr>
      <w:r>
        <w:t xml:space="preserve">We also select the best</w:t>
      </w:r>
      <w:r>
        <w:t xml:space="preserve"> </w:t>
      </w:r>
      <w:r>
        <w:rPr>
          <w:b/>
          <w:bCs/>
        </w:rPr>
        <w:t xml:space="preserve">side</w:t>
      </w:r>
      <w:r>
        <w:t xml:space="preserve"> </w:t>
      </w:r>
      <w:r>
        <w:t xml:space="preserve">(MOM vs MR) per contract.</w:t>
      </w:r>
    </w:p>
    <w:p>
      <w:pPr>
        <w:numPr>
          <w:ilvl w:val="0"/>
          <w:numId w:val="1011"/>
        </w:numPr>
      </w:pPr>
      <w:r>
        <w:rPr>
          <w:b/>
          <w:bCs/>
        </w:rPr>
        <w:t xml:space="preserve">Final evaluation:</w:t>
      </w:r>
      <w:r>
        <w:t xml:space="preserve"> </w:t>
      </w:r>
      <w:r>
        <w:t xml:space="preserve">using the fixed parameters per contract, we report performance quarter-by-quarter for the full available set of quarters.</w:t>
      </w:r>
    </w:p>
    <w:bookmarkEnd w:id="23"/>
    <w:bookmarkEnd w:id="24"/>
    <w:bookmarkStart w:id="25" w:name="finally-selected-strategy-for-group-1"/>
    <w:p>
      <w:pPr>
        <w:pStyle w:val="Heading2"/>
      </w:pPr>
      <w:r>
        <w:t xml:space="preserve">Finally selected strategy for</w:t>
      </w:r>
      <w:r>
        <w:t xml:space="preserve"> </w:t>
      </w:r>
      <w:r>
        <w:rPr>
          <w:b/>
          <w:bCs/>
        </w:rPr>
        <w:t xml:space="preserve">group 1</w:t>
      </w:r>
    </w:p>
    <w:p>
      <w:pPr>
        <w:pStyle w:val="FirstParagraph"/>
      </w:pPr>
      <w:r>
        <w:t xml:space="preserve">Provide a</w:t>
      </w:r>
      <w:r>
        <w:t xml:space="preserve"> </w:t>
      </w:r>
      <w:r>
        <w:rPr>
          <w:b/>
          <w:bCs/>
        </w:rPr>
        <w:t xml:space="preserve">general summary</w:t>
      </w:r>
      <w:r>
        <w:t xml:space="preserve"> </w:t>
      </w:r>
      <w:r>
        <w:t xml:space="preserve">(approach and a set of</w:t>
      </w:r>
      <w:r>
        <w:t xml:space="preserve"> </w:t>
      </w:r>
      <w:r>
        <w:rPr>
          <w:b/>
          <w:bCs/>
        </w:rPr>
        <w:t xml:space="preserve">final parameters</w:t>
      </w:r>
      <w:r>
        <w:t xml:space="preserve">) for assets from</w:t>
      </w:r>
      <w:r>
        <w:t xml:space="preserve"> </w:t>
      </w:r>
      <w:r>
        <w:rPr>
          <w:b/>
          <w:bCs/>
        </w:rPr>
        <w:t xml:space="preserve">group 1</w:t>
      </w:r>
      <w:r>
        <w:t xml:space="preserve">.</w:t>
      </w:r>
      <w:r>
        <w:t xml:space="preserve"> </w:t>
      </w:r>
      <w:r>
        <w:t xml:space="preserve">(e.g. momentum strategy, cross over of two exponential moving averages EMA10 and EMA60).</w:t>
      </w:r>
    </w:p>
    <w:p>
      <w:pPr>
        <w:pStyle w:val="BodyText"/>
      </w:pPr>
      <w:r>
        <w:rPr>
          <w:b/>
          <w:bCs/>
        </w:rPr>
        <w:t xml:space="preserve">Selected strategy (Group 1): Volatility Breakout 2.2 (fixed parameters)</w:t>
      </w:r>
    </w:p>
    <w:p>
      <w:pPr>
        <w:pStyle w:val="BodyText"/>
      </w:pPr>
      <w:r>
        <w:t xml:space="preserve">We implement a volatility breakout rule based on an EMA signal and an EMA-centered volatility band:</w:t>
      </w:r>
    </w:p>
    <w:p>
      <w:pPr>
        <w:pStyle w:val="Compact"/>
        <w:numPr>
          <w:ilvl w:val="0"/>
          <w:numId w:val="1013"/>
        </w:numPr>
      </w:pPr>
      <w:r>
        <w:t xml:space="preserve">Compute a fast EMA signal</w:t>
      </w:r>
      <w:r>
        <w:t xml:space="preserve"> </w:t>
      </w:r>
      <m:oMath>
        <m:sSub>
          <m:e>
            <m:r>
              <m:t>s</m:t>
            </m:r>
          </m:e>
          <m:sub>
            <m:r>
              <m:t>t</m:t>
            </m:r>
          </m:sub>
        </m:sSub>
      </m:oMath>
      <w:r>
        <w:t xml:space="preserve"> </w:t>
      </w:r>
      <w:r>
        <w:t xml:space="preserve">and a slow EMA center</w:t>
      </w:r>
      <w:r>
        <w:t xml:space="preserve"> </w:t>
      </w:r>
      <m:oMath>
        <m:sSub>
          <m:e>
            <m:r>
              <m:rPr>
                <m:sty m:val="p"/>
              </m:rPr>
              <m:t>ℓ</m:t>
            </m:r>
          </m:e>
          <m:sub>
            <m:r>
              <m:t>t</m:t>
            </m:r>
          </m:sub>
        </m:sSub>
      </m:oMath>
      <w:r>
        <w:t xml:space="preserve">.</w:t>
      </w:r>
    </w:p>
    <w:p>
      <w:pPr>
        <w:pStyle w:val="Compact"/>
        <w:numPr>
          <w:ilvl w:val="0"/>
          <w:numId w:val="1013"/>
        </w:numPr>
      </w:pPr>
      <w:r>
        <w:t xml:space="preserve">Compute rolling volatility</w:t>
      </w:r>
      <w:r>
        <w:t xml:space="preserve"> </w:t>
      </w:r>
      <m:oMath>
        <m:sSub>
          <m:e>
            <m:r>
              <m:t>σ</m:t>
            </m:r>
          </m:e>
          <m:sub>
            <m:r>
              <m:t>t</m:t>
            </m:r>
          </m:sub>
        </m:sSub>
      </m:oMath>
      <w:r>
        <w:t xml:space="preserve"> </w:t>
      </w:r>
      <w:r>
        <w:t xml:space="preserve">(rolling standard deviation).</w:t>
      </w:r>
    </w:p>
    <w:p>
      <w:pPr>
        <w:pStyle w:val="Compact"/>
        <w:numPr>
          <w:ilvl w:val="0"/>
          <w:numId w:val="1013"/>
        </w:numPr>
      </w:pPr>
      <w:r>
        <w:t xml:space="preserve">Define bands</w:t>
      </w:r>
      <w:r>
        <w:t xml:space="preserve"> </w:t>
      </w:r>
      <m:oMath>
        <m:sSub>
          <m:e>
            <m:r>
              <m:t>U</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 </w:t>
      </w:r>
      <w:r>
        <w:t xml:space="preserve">and</w:t>
      </w:r>
      <w:r>
        <w:t xml:space="preserve"> </w:t>
      </w:r>
      <m:oMath>
        <m:sSub>
          <m:e>
            <m:r>
              <m:t>L</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w:t>
      </w:r>
    </w:p>
    <w:p>
      <w:pPr>
        <w:pStyle w:val="Compact"/>
        <w:numPr>
          <w:ilvl w:val="0"/>
          <w:numId w:val="1013"/>
        </w:numPr>
      </w:pPr>
      <w:r>
        <w:t xml:space="preserve">Generate positions with our helper function</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which enforces forced-flat periods (</w:t>
      </w:r>
      <w:r>
        <w:rPr>
          <w:rStyle w:val="VerbatimChar"/>
        </w:rPr>
        <w:t xml:space="preserve">pos_flat</w:t>
      </w:r>
      <w:r>
        <w:t xml:space="preserve">) and uses</w:t>
      </w:r>
      <w:r>
        <w:t xml:space="preserve"> </w:t>
      </w:r>
      <w:r>
        <w:rPr>
          <w:b/>
          <w:bCs/>
        </w:rPr>
        <w:t xml:space="preserve">t−1</w:t>
      </w:r>
      <w:r>
        <w:t xml:space="preserve"> </w:t>
      </w:r>
      <w:r>
        <w:t xml:space="preserve">signal/band values to avoid look-ahead.</w:t>
      </w:r>
    </w:p>
    <w:p>
      <w:pPr>
        <w:pStyle w:val="Compact"/>
        <w:numPr>
          <w:ilvl w:val="0"/>
          <w:numId w:val="1013"/>
        </w:numPr>
      </w:pPr>
      <w:r>
        <w:t xml:space="preserve">Apply transaction costs per trade and report gross vs net results.</w:t>
      </w:r>
    </w:p>
    <w:p>
      <w:pPr>
        <w:pStyle w:val="FirstParagraph"/>
      </w:pPr>
      <w:r>
        <w:t xml:space="preserve">Final fixed parameters (chosen from the research notebook and kept constant across quarters):</w:t>
      </w:r>
    </w:p>
    <w:p>
      <w:pPr>
        <w:pStyle w:val="Compact"/>
        <w:numPr>
          <w:ilvl w:val="0"/>
          <w:numId w:val="1014"/>
        </w:numPr>
      </w:pPr>
      <w:r>
        <w:rPr>
          <w:b/>
          <w:bCs/>
        </w:rPr>
        <w:t xml:space="preserve">NQ (Momentum / breakout):</w:t>
      </w:r>
      <w:r>
        <w:t xml:space="preserve"> </w:t>
      </w:r>
      <w:r>
        <w:rPr>
          <w:rStyle w:val="VerbatimChar"/>
        </w:rPr>
        <w:t xml:space="preserve">signalEMA=20</w:t>
      </w:r>
      <w:r>
        <w:t xml:space="preserve">,</w:t>
      </w:r>
      <w:r>
        <w:t xml:space="preserve"> </w:t>
      </w:r>
      <w:r>
        <w:rPr>
          <w:rStyle w:val="VerbatimChar"/>
        </w:rPr>
        <w:t xml:space="preserve">slowEMA=60</w:t>
      </w:r>
      <w:r>
        <w:t xml:space="preserve">,</w:t>
      </w:r>
      <w:r>
        <w:t xml:space="preserve"> </w:t>
      </w:r>
      <w:r>
        <w:rPr>
          <w:rStyle w:val="VerbatimChar"/>
        </w:rPr>
        <w:t xml:space="preserve">volat_sd=30</w:t>
      </w:r>
      <w:r>
        <w:t xml:space="preserve">,</w:t>
      </w:r>
      <w:r>
        <w:t xml:space="preserve"> </w:t>
      </w:r>
      <w:r>
        <w:rPr>
          <w:rStyle w:val="VerbatimChar"/>
        </w:rPr>
        <w:t xml:space="preserve">m=2.0</w:t>
      </w:r>
    </w:p>
    <w:p>
      <w:pPr>
        <w:pStyle w:val="Compact"/>
        <w:numPr>
          <w:ilvl w:val="0"/>
          <w:numId w:val="1014"/>
        </w:numPr>
      </w:pPr>
      <w:r>
        <w:rPr>
          <w:b/>
          <w:bCs/>
        </w:rPr>
        <w:t xml:space="preserve">SP (Mean reversion):</w:t>
      </w:r>
      <w:r>
        <w:t xml:space="preserve"> </w:t>
      </w:r>
      <w:r>
        <w:rPr>
          <w:rStyle w:val="VerbatimChar"/>
        </w:rPr>
        <w:t xml:space="preserve">signalEMA=90</w:t>
      </w:r>
      <w:r>
        <w:t xml:space="preserve">,</w:t>
      </w:r>
      <w:r>
        <w:t xml:space="preserve"> </w:t>
      </w:r>
      <w:r>
        <w:rPr>
          <w:rStyle w:val="VerbatimChar"/>
        </w:rPr>
        <w:t xml:space="preserve">slowEMA=180</w:t>
      </w:r>
      <w:r>
        <w:t xml:space="preserve">,</w:t>
      </w:r>
      <w:r>
        <w:t xml:space="preserve"> </w:t>
      </w:r>
      <w:r>
        <w:rPr>
          <w:rStyle w:val="VerbatimChar"/>
        </w:rPr>
        <w:t xml:space="preserve">volat_sd=60</w:t>
      </w:r>
      <w:r>
        <w:t xml:space="preserve">,</w:t>
      </w:r>
      <w:r>
        <w:t xml:space="preserve"> </w:t>
      </w:r>
      <w:r>
        <w:rPr>
          <w:rStyle w:val="VerbatimChar"/>
        </w:rPr>
        <w:t xml:space="preserve">m=1.0</w:t>
      </w:r>
    </w:p>
    <w:bookmarkEnd w:id="25"/>
    <w:bookmarkStart w:id="27" w:name="summary-of-results-for-group-1"/>
    <w:p>
      <w:pPr>
        <w:pStyle w:val="Heading2"/>
      </w:pPr>
      <w:r>
        <w:t xml:space="preserve">Summary of results for</w:t>
      </w:r>
      <w:r>
        <w:t xml:space="preserve"> </w:t>
      </w:r>
      <w:r>
        <w:rPr>
          <w:b/>
          <w:bCs/>
        </w:rPr>
        <w:t xml:space="preserve">group 1</w:t>
      </w:r>
    </w:p>
    <w:bookmarkStart w:id="26" w:name="T_0f6cf"/>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quarter</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NQ</w:t>
            </w:r>
          </w:p>
        </w:tc>
        <w:tc>
          <w:tcPr/>
          <w:p>
            <w:pPr>
              <w:pStyle w:val="Compact"/>
            </w:pPr>
            <w:r>
              <w:t xml:space="preserve">6.11</w:t>
            </w:r>
          </w:p>
        </w:tc>
        <w:tc>
          <w:tcPr/>
          <w:p>
            <w:pPr>
              <w:pStyle w:val="Compact"/>
            </w:pPr>
            <w:r>
              <w:t xml:space="preserve">5.85</w:t>
            </w:r>
          </w:p>
        </w:tc>
        <w:tc>
          <w:tcPr/>
          <w:p>
            <w:pPr>
              <w:pStyle w:val="Compact"/>
            </w:pPr>
            <w:r>
              <w:t xml:space="preserve">59253.00</w:t>
            </w:r>
          </w:p>
        </w:tc>
        <w:tc>
          <w:tcPr/>
          <w:p>
            <w:pPr>
              <w:pStyle w:val="Compact"/>
            </w:pPr>
            <w:r>
              <w:t xml:space="preserve">56901.00</w:t>
            </w:r>
          </w:p>
        </w:tc>
        <w:tc>
          <w:tcPr/>
          <w:p>
            <w:pPr>
              <w:pStyle w:val="Compact"/>
            </w:pPr>
            <w:r>
              <w:t xml:space="preserve">37.29</w:t>
            </w:r>
          </w:p>
        </w:tc>
        <w:tc>
          <w:tcPr/>
          <w:p>
            <w:pPr>
              <w:pStyle w:val="Compact"/>
            </w:pPr>
            <w:r>
              <w:t xml:space="preserve">35.26</w:t>
            </w:r>
          </w:p>
        </w:tc>
        <w:tc>
          <w:tcPr/>
          <w:p>
            <w:pPr>
              <w:pStyle w:val="Compact"/>
            </w:pPr>
            <w:r>
              <w:t xml:space="preserve">3.02</w:t>
            </w:r>
          </w:p>
        </w:tc>
        <w:tc>
          <w:tcPr/>
          <w:p>
            <w:pPr>
              <w:pStyle w:val="Compact"/>
            </w:pPr>
            <w:r>
              <w:t xml:space="preserve">21.62</w:t>
            </w:r>
          </w:p>
        </w:tc>
      </w:tr>
      <w:tr>
        <w:tc>
          <w:tcPr/>
          <w:p>
            <w:pPr>
              <w:pStyle w:val="Compact"/>
            </w:pPr>
            <w:r>
              <w:t xml:space="preserve">2023_Q1</w:t>
            </w:r>
          </w:p>
        </w:tc>
        <w:tc>
          <w:tcPr/>
          <w:p>
            <w:pPr>
              <w:pStyle w:val="Compact"/>
            </w:pPr>
            <w:r>
              <w:t xml:space="preserve">SP</w:t>
            </w:r>
          </w:p>
        </w:tc>
        <w:tc>
          <w:tcPr/>
          <w:p>
            <w:pPr>
              <w:pStyle w:val="Compact"/>
            </w:pPr>
            <w:r>
              <w:t xml:space="preserve">-0.98</w:t>
            </w:r>
          </w:p>
        </w:tc>
        <w:tc>
          <w:tcPr/>
          <w:p>
            <w:pPr>
              <w:pStyle w:val="Compact"/>
            </w:pPr>
            <w:r>
              <w:t xml:space="preserve">-1.34</w:t>
            </w:r>
          </w:p>
        </w:tc>
        <w:tc>
          <w:tcPr/>
          <w:p>
            <w:pPr>
              <w:pStyle w:val="Compact"/>
            </w:pPr>
            <w:r>
              <w:t xml:space="preserve">-6326.15</w:t>
            </w:r>
          </w:p>
        </w:tc>
        <w:tc>
          <w:tcPr/>
          <w:p>
            <w:pPr>
              <w:pStyle w:val="Compact"/>
            </w:pPr>
            <w:r>
              <w:t xml:space="preserve">-8606.15</w:t>
            </w:r>
          </w:p>
        </w:tc>
        <w:tc>
          <w:tcPr/>
          <w:p>
            <w:pPr>
              <w:pStyle w:val="Compact"/>
            </w:pPr>
            <w:r>
              <w:t xml:space="preserve">-1.68</w:t>
            </w:r>
          </w:p>
        </w:tc>
        <w:tc>
          <w:tcPr/>
          <w:p>
            <w:pPr>
              <w:pStyle w:val="Compact"/>
            </w:pPr>
            <w:r>
              <w:t xml:space="preserve">-2.15</w:t>
            </w:r>
          </w:p>
        </w:tc>
        <w:tc>
          <w:tcPr/>
          <w:p>
            <w:pPr>
              <w:pStyle w:val="Compact"/>
            </w:pPr>
            <w:r>
              <w:t xml:space="preserve">2.92</w:t>
            </w:r>
          </w:p>
        </w:tc>
        <w:tc>
          <w:tcPr/>
          <w:p>
            <w:pPr>
              <w:pStyle w:val="Compact"/>
            </w:pPr>
            <w:r>
              <w:t xml:space="preserve">-3.96</w:t>
            </w:r>
          </w:p>
        </w:tc>
      </w:tr>
      <w:tr>
        <w:tc>
          <w:tcPr/>
          <w:p>
            <w:pPr>
              <w:pStyle w:val="Compact"/>
            </w:pPr>
            <w:r>
              <w:t xml:space="preserve">2023_Q3</w:t>
            </w:r>
          </w:p>
        </w:tc>
        <w:tc>
          <w:tcPr/>
          <w:p>
            <w:pPr>
              <w:pStyle w:val="Compact"/>
            </w:pPr>
            <w:r>
              <w:t xml:space="preserve">NQ</w:t>
            </w:r>
          </w:p>
        </w:tc>
        <w:tc>
          <w:tcPr/>
          <w:p>
            <w:pPr>
              <w:pStyle w:val="Compact"/>
            </w:pPr>
            <w:r>
              <w:t xml:space="preserve">0.83</w:t>
            </w:r>
          </w:p>
        </w:tc>
        <w:tc>
          <w:tcPr/>
          <w:p>
            <w:pPr>
              <w:pStyle w:val="Compact"/>
            </w:pPr>
            <w:r>
              <w:t xml:space="preserve">0.52</w:t>
            </w:r>
          </w:p>
        </w:tc>
        <w:tc>
          <w:tcPr/>
          <w:p>
            <w:pPr>
              <w:pStyle w:val="Compact"/>
            </w:pPr>
            <w:r>
              <w:t xml:space="preserve">6365.52</w:t>
            </w:r>
          </w:p>
        </w:tc>
        <w:tc>
          <w:tcPr/>
          <w:p>
            <w:pPr>
              <w:pStyle w:val="Compact"/>
            </w:pPr>
            <w:r>
              <w:t xml:space="preserve">4013.52</w:t>
            </w:r>
          </w:p>
        </w:tc>
        <w:tc>
          <w:tcPr/>
          <w:p>
            <w:pPr>
              <w:pStyle w:val="Compact"/>
            </w:pPr>
            <w:r>
              <w:t xml:space="preserve">1.92</w:t>
            </w:r>
          </w:p>
        </w:tc>
        <w:tc>
          <w:tcPr/>
          <w:p>
            <w:pPr>
              <w:pStyle w:val="Compact"/>
            </w:pPr>
            <w:r>
              <w:t xml:space="preserve">1.15</w:t>
            </w:r>
          </w:p>
        </w:tc>
        <w:tc>
          <w:tcPr/>
          <w:p>
            <w:pPr>
              <w:pStyle w:val="Compact"/>
            </w:pPr>
            <w:r>
              <w:t xml:space="preserve">3.02</w:t>
            </w:r>
          </w:p>
        </w:tc>
        <w:tc>
          <w:tcPr/>
          <w:p>
            <w:pPr>
              <w:pStyle w:val="Compact"/>
            </w:pPr>
            <w:r>
              <w:t xml:space="preserve">0.03</w:t>
            </w:r>
          </w:p>
        </w:tc>
      </w:tr>
      <w:tr>
        <w:tc>
          <w:tcPr/>
          <w:p>
            <w:pPr>
              <w:pStyle w:val="Compact"/>
            </w:pPr>
            <w:r>
              <w:t xml:space="preserve">2023_Q3</w:t>
            </w:r>
          </w:p>
        </w:tc>
        <w:tc>
          <w:tcPr/>
          <w:p>
            <w:pPr>
              <w:pStyle w:val="Compact"/>
            </w:pPr>
            <w:r>
              <w:t xml:space="preserve">SP</w:t>
            </w:r>
          </w:p>
        </w:tc>
        <w:tc>
          <w:tcPr/>
          <w:p>
            <w:pPr>
              <w:pStyle w:val="Compact"/>
            </w:pPr>
            <w:r>
              <w:t xml:space="preserve">2.23</w:t>
            </w:r>
          </w:p>
        </w:tc>
        <w:tc>
          <w:tcPr/>
          <w:p>
            <w:pPr>
              <w:pStyle w:val="Compact"/>
            </w:pPr>
            <w:r>
              <w:t xml:space="preserve">1.74</w:t>
            </w:r>
          </w:p>
        </w:tc>
        <w:tc>
          <w:tcPr/>
          <w:p>
            <w:pPr>
              <w:pStyle w:val="Compact"/>
            </w:pPr>
            <w:r>
              <w:t xml:space="preserve">9282.50</w:t>
            </w:r>
          </w:p>
        </w:tc>
        <w:tc>
          <w:tcPr/>
          <w:p>
            <w:pPr>
              <w:pStyle w:val="Compact"/>
            </w:pPr>
            <w:r>
              <w:t xml:space="preserve">7194.50</w:t>
            </w:r>
          </w:p>
        </w:tc>
        <w:tc>
          <w:tcPr/>
          <w:p>
            <w:pPr>
              <w:pStyle w:val="Compact"/>
            </w:pPr>
            <w:r>
              <w:t xml:space="preserve">7.70</w:t>
            </w:r>
          </w:p>
        </w:tc>
        <w:tc>
          <w:tcPr/>
          <w:p>
            <w:pPr>
              <w:pStyle w:val="Compact"/>
            </w:pPr>
            <w:r>
              <w:t xml:space="preserve">5.38</w:t>
            </w:r>
          </w:p>
        </w:tc>
        <w:tc>
          <w:tcPr/>
          <w:p>
            <w:pPr>
              <w:pStyle w:val="Compact"/>
            </w:pPr>
            <w:r>
              <w:t xml:space="preserve">2.68</w:t>
            </w:r>
          </w:p>
        </w:tc>
        <w:tc>
          <w:tcPr/>
          <w:p>
            <w:pPr>
              <w:pStyle w:val="Compact"/>
            </w:pPr>
            <w:r>
              <w:t xml:space="preserve">2.45</w:t>
            </w:r>
          </w:p>
        </w:tc>
      </w:tr>
      <w:tr>
        <w:tc>
          <w:tcPr/>
          <w:p>
            <w:pPr>
              <w:pStyle w:val="Compact"/>
            </w:pPr>
            <w:r>
              <w:t xml:space="preserve">2023_Q4</w:t>
            </w:r>
          </w:p>
        </w:tc>
        <w:tc>
          <w:tcPr/>
          <w:p>
            <w:pPr>
              <w:pStyle w:val="Compact"/>
            </w:pPr>
            <w:r>
              <w:t xml:space="preserve">NQ</w:t>
            </w:r>
          </w:p>
        </w:tc>
        <w:tc>
          <w:tcPr/>
          <w:p>
            <w:pPr>
              <w:pStyle w:val="Compact"/>
            </w:pPr>
            <w:r>
              <w:t xml:space="preserve">2.05</w:t>
            </w:r>
          </w:p>
        </w:tc>
        <w:tc>
          <w:tcPr/>
          <w:p>
            <w:pPr>
              <w:pStyle w:val="Compact"/>
            </w:pPr>
            <w:r>
              <w:t xml:space="preserve">1.78</w:t>
            </w:r>
          </w:p>
        </w:tc>
        <w:tc>
          <w:tcPr/>
          <w:p>
            <w:pPr>
              <w:pStyle w:val="Compact"/>
            </w:pPr>
            <w:r>
              <w:t xml:space="preserve">16052.96</w:t>
            </w:r>
          </w:p>
        </w:tc>
        <w:tc>
          <w:tcPr/>
          <w:p>
            <w:pPr>
              <w:pStyle w:val="Compact"/>
            </w:pPr>
            <w:r>
              <w:t xml:space="preserve">13988.96</w:t>
            </w:r>
          </w:p>
        </w:tc>
        <w:tc>
          <w:tcPr/>
          <w:p>
            <w:pPr>
              <w:pStyle w:val="Compact"/>
            </w:pPr>
            <w:r>
              <w:t xml:space="preserve">8.87</w:t>
            </w:r>
          </w:p>
        </w:tc>
        <w:tc>
          <w:tcPr/>
          <w:p>
            <w:pPr>
              <w:pStyle w:val="Compact"/>
            </w:pPr>
            <w:r>
              <w:t xml:space="preserve">6.98</w:t>
            </w:r>
          </w:p>
        </w:tc>
        <w:tc>
          <w:tcPr/>
          <w:p>
            <w:pPr>
              <w:pStyle w:val="Compact"/>
            </w:pPr>
            <w:r>
              <w:t xml:space="preserve">2.69</w:t>
            </w:r>
          </w:p>
        </w:tc>
        <w:tc>
          <w:tcPr/>
          <w:p>
            <w:pPr>
              <w:pStyle w:val="Compact"/>
            </w:pPr>
            <w:r>
              <w:t xml:space="preserve">3.38</w:t>
            </w:r>
          </w:p>
        </w:tc>
      </w:tr>
      <w:tr>
        <w:tc>
          <w:tcPr/>
          <w:p>
            <w:pPr>
              <w:pStyle w:val="Compact"/>
            </w:pPr>
            <w:r>
              <w:t xml:space="preserve">2023_Q4</w:t>
            </w:r>
          </w:p>
        </w:tc>
        <w:tc>
          <w:tcPr/>
          <w:p>
            <w:pPr>
              <w:pStyle w:val="Compact"/>
            </w:pPr>
            <w:r>
              <w:t xml:space="preserve">SP</w:t>
            </w:r>
          </w:p>
        </w:tc>
        <w:tc>
          <w:tcPr/>
          <w:p>
            <w:pPr>
              <w:pStyle w:val="Compact"/>
            </w:pPr>
            <w:r>
              <w:t xml:space="preserve">-0.08</w:t>
            </w:r>
          </w:p>
        </w:tc>
        <w:tc>
          <w:tcPr/>
          <w:p>
            <w:pPr>
              <w:pStyle w:val="Compact"/>
            </w:pPr>
            <w:r>
              <w:t xml:space="preserve">-0.50</w:t>
            </w:r>
          </w:p>
        </w:tc>
        <w:tc>
          <w:tcPr/>
          <w:p>
            <w:pPr>
              <w:pStyle w:val="Compact"/>
            </w:pPr>
            <w:r>
              <w:t xml:space="preserve">-340.20</w:t>
            </w:r>
          </w:p>
        </w:tc>
        <w:tc>
          <w:tcPr/>
          <w:p>
            <w:pPr>
              <w:pStyle w:val="Compact"/>
            </w:pPr>
            <w:r>
              <w:t xml:space="preserve">-2188.20</w:t>
            </w:r>
          </w:p>
        </w:tc>
        <w:tc>
          <w:tcPr/>
          <w:p>
            <w:pPr>
              <w:pStyle w:val="Compact"/>
            </w:pPr>
            <w:r>
              <w:t xml:space="preserve">-0.12</w:t>
            </w:r>
          </w:p>
        </w:tc>
        <w:tc>
          <w:tcPr/>
          <w:p>
            <w:pPr>
              <w:pStyle w:val="Compact"/>
            </w:pPr>
            <w:r>
              <w:t xml:space="preserve">-0.71</w:t>
            </w:r>
          </w:p>
        </w:tc>
        <w:tc>
          <w:tcPr/>
          <w:p>
            <w:pPr>
              <w:pStyle w:val="Compact"/>
            </w:pPr>
            <w:r>
              <w:t xml:space="preserve">2.41</w:t>
            </w:r>
          </w:p>
        </w:tc>
        <w:tc>
          <w:tcPr/>
          <w:p>
            <w:pPr>
              <w:pStyle w:val="Compact"/>
            </w:pPr>
            <w:r>
              <w:t xml:space="preserve">-0.78</w:t>
            </w:r>
          </w:p>
        </w:tc>
      </w:tr>
      <w:tr>
        <w:tc>
          <w:tcPr/>
          <w:p>
            <w:pPr>
              <w:pStyle w:val="Compact"/>
            </w:pPr>
            <w:r>
              <w:t xml:space="preserve">2024_Q2</w:t>
            </w:r>
          </w:p>
        </w:tc>
        <w:tc>
          <w:tcPr/>
          <w:p>
            <w:pPr>
              <w:pStyle w:val="Compact"/>
            </w:pPr>
            <w:r>
              <w:t xml:space="preserve">NQ</w:t>
            </w:r>
          </w:p>
        </w:tc>
        <w:tc>
          <w:tcPr/>
          <w:p>
            <w:pPr>
              <w:pStyle w:val="Compact"/>
            </w:pPr>
            <w:r>
              <w:t xml:space="preserve">-0.24</w:t>
            </w:r>
          </w:p>
        </w:tc>
        <w:tc>
          <w:tcPr/>
          <w:p>
            <w:pPr>
              <w:pStyle w:val="Compact"/>
            </w:pPr>
            <w:r>
              <w:t xml:space="preserve">-0.43</w:t>
            </w:r>
          </w:p>
        </w:tc>
        <w:tc>
          <w:tcPr/>
          <w:p>
            <w:pPr>
              <w:pStyle w:val="Compact"/>
            </w:pPr>
            <w:r>
              <w:t xml:space="preserve">-2615.56</w:t>
            </w:r>
          </w:p>
        </w:tc>
        <w:tc>
          <w:tcPr/>
          <w:p>
            <w:pPr>
              <w:pStyle w:val="Compact"/>
            </w:pPr>
            <w:r>
              <w:t xml:space="preserve">-4607.56</w:t>
            </w:r>
          </w:p>
        </w:tc>
        <w:tc>
          <w:tcPr/>
          <w:p>
            <w:pPr>
              <w:pStyle w:val="Compact"/>
            </w:pPr>
            <w:r>
              <w:t xml:space="preserve">-0.50</w:t>
            </w:r>
          </w:p>
        </w:tc>
        <w:tc>
          <w:tcPr/>
          <w:p>
            <w:pPr>
              <w:pStyle w:val="Compact"/>
            </w:pPr>
            <w:r>
              <w:t xml:space="preserve">-0.85</w:t>
            </w:r>
          </w:p>
        </w:tc>
        <w:tc>
          <w:tcPr/>
          <w:p>
            <w:pPr>
              <w:pStyle w:val="Compact"/>
            </w:pPr>
            <w:r>
              <w:t xml:space="preserve">2.55</w:t>
            </w:r>
          </w:p>
        </w:tc>
        <w:tc>
          <w:tcPr/>
          <w:p>
            <w:pPr>
              <w:pStyle w:val="Compact"/>
            </w:pPr>
            <w:r>
              <w:t xml:space="preserve">-1.42</w:t>
            </w:r>
          </w:p>
        </w:tc>
      </w:tr>
      <w:tr>
        <w:tc>
          <w:tcPr/>
          <w:p>
            <w:pPr>
              <w:pStyle w:val="Compact"/>
            </w:pPr>
            <w:r>
              <w:t xml:space="preserve">2024_Q2</w:t>
            </w:r>
          </w:p>
        </w:tc>
        <w:tc>
          <w:tcPr/>
          <w:p>
            <w:pPr>
              <w:pStyle w:val="Compact"/>
            </w:pPr>
            <w:r>
              <w:t xml:space="preserve">SP</w:t>
            </w:r>
          </w:p>
        </w:tc>
        <w:tc>
          <w:tcPr/>
          <w:p>
            <w:pPr>
              <w:pStyle w:val="Compact"/>
            </w:pPr>
            <w:r>
              <w:t xml:space="preserve">3.07</w:t>
            </w:r>
          </w:p>
        </w:tc>
        <w:tc>
          <w:tcPr/>
          <w:p>
            <w:pPr>
              <w:pStyle w:val="Compact"/>
            </w:pPr>
            <w:r>
              <w:t xml:space="preserve">2.70</w:t>
            </w:r>
          </w:p>
        </w:tc>
        <w:tc>
          <w:tcPr/>
          <w:p>
            <w:pPr>
              <w:pStyle w:val="Compact"/>
            </w:pPr>
            <w:r>
              <w:t xml:space="preserve">15334.60</w:t>
            </w:r>
          </w:p>
        </w:tc>
        <w:tc>
          <w:tcPr/>
          <w:p>
            <w:pPr>
              <w:pStyle w:val="Compact"/>
            </w:pPr>
            <w:r>
              <w:t xml:space="preserve">13366.60</w:t>
            </w:r>
          </w:p>
        </w:tc>
        <w:tc>
          <w:tcPr/>
          <w:p>
            <w:pPr>
              <w:pStyle w:val="Compact"/>
            </w:pPr>
            <w:r>
              <w:t xml:space="preserve">9.56</w:t>
            </w:r>
          </w:p>
        </w:tc>
        <w:tc>
          <w:tcPr/>
          <w:p>
            <w:pPr>
              <w:pStyle w:val="Compact"/>
            </w:pPr>
            <w:r>
              <w:t xml:space="preserve">7.99</w:t>
            </w:r>
          </w:p>
        </w:tc>
        <w:tc>
          <w:tcPr/>
          <w:p>
            <w:pPr>
              <w:pStyle w:val="Compact"/>
            </w:pPr>
            <w:r>
              <w:t xml:space="preserve">2.52</w:t>
            </w:r>
          </w:p>
        </w:tc>
        <w:tc>
          <w:tcPr/>
          <w:p>
            <w:pPr>
              <w:pStyle w:val="Compact"/>
            </w:pPr>
            <w:r>
              <w:t xml:space="preserve">5.70</w:t>
            </w:r>
          </w:p>
        </w:tc>
      </w:tr>
      <w:tr>
        <w:tc>
          <w:tcPr/>
          <w:p>
            <w:pPr>
              <w:pStyle w:val="Compact"/>
            </w:pPr>
            <w:r>
              <w:t xml:space="preserve">2024_Q4</w:t>
            </w:r>
          </w:p>
        </w:tc>
        <w:tc>
          <w:tcPr/>
          <w:p>
            <w:pPr>
              <w:pStyle w:val="Compact"/>
            </w:pPr>
            <w:r>
              <w:t xml:space="preserve">NQ</w:t>
            </w:r>
          </w:p>
        </w:tc>
        <w:tc>
          <w:tcPr/>
          <w:p>
            <w:pPr>
              <w:pStyle w:val="Compact"/>
            </w:pPr>
            <w:r>
              <w:t xml:space="preserve">2.87</w:t>
            </w:r>
          </w:p>
        </w:tc>
        <w:tc>
          <w:tcPr/>
          <w:p>
            <w:pPr>
              <w:pStyle w:val="Compact"/>
            </w:pPr>
            <w:r>
              <w:t xml:space="preserve">2.65</w:t>
            </w:r>
          </w:p>
        </w:tc>
        <w:tc>
          <w:tcPr/>
          <w:p>
            <w:pPr>
              <w:pStyle w:val="Compact"/>
            </w:pPr>
            <w:r>
              <w:t xml:space="preserve">26062.22</w:t>
            </w:r>
          </w:p>
        </w:tc>
        <w:tc>
          <w:tcPr/>
          <w:p>
            <w:pPr>
              <w:pStyle w:val="Compact"/>
            </w:pPr>
            <w:r>
              <w:t xml:space="preserve">24166.22</w:t>
            </w:r>
          </w:p>
        </w:tc>
        <w:tc>
          <w:tcPr/>
          <w:p>
            <w:pPr>
              <w:pStyle w:val="Compact"/>
            </w:pPr>
            <w:r>
              <w:t xml:space="preserve">20.90</w:t>
            </w:r>
          </w:p>
        </w:tc>
        <w:tc>
          <w:tcPr/>
          <w:p>
            <w:pPr>
              <w:pStyle w:val="Compact"/>
            </w:pPr>
            <w:r>
              <w:t xml:space="preserve">19.00</w:t>
            </w:r>
          </w:p>
        </w:tc>
        <w:tc>
          <w:tcPr/>
          <w:p>
            <w:pPr>
              <w:pStyle w:val="Compact"/>
            </w:pPr>
            <w:r>
              <w:t xml:space="preserve">2.43</w:t>
            </w:r>
          </w:p>
        </w:tc>
        <w:tc>
          <w:tcPr/>
          <w:p>
            <w:pPr>
              <w:pStyle w:val="Compact"/>
            </w:pPr>
            <w:r>
              <w:t xml:space="preserve">6.86</w:t>
            </w:r>
          </w:p>
        </w:tc>
      </w:tr>
      <w:tr>
        <w:tc>
          <w:tcPr/>
          <w:p>
            <w:pPr>
              <w:pStyle w:val="Compact"/>
            </w:pPr>
            <w:r>
              <w:t xml:space="preserve">2024_Q4</w:t>
            </w:r>
          </w:p>
        </w:tc>
        <w:tc>
          <w:tcPr/>
          <w:p>
            <w:pPr>
              <w:pStyle w:val="Compact"/>
            </w:pPr>
            <w:r>
              <w:t xml:space="preserve">SP</w:t>
            </w:r>
          </w:p>
        </w:tc>
        <w:tc>
          <w:tcPr/>
          <w:p>
            <w:pPr>
              <w:pStyle w:val="Compact"/>
            </w:pPr>
            <w:r>
              <w:t xml:space="preserve">0.51</w:t>
            </w:r>
          </w:p>
        </w:tc>
        <w:tc>
          <w:tcPr/>
          <w:p>
            <w:pPr>
              <w:pStyle w:val="Compact"/>
            </w:pPr>
            <w:r>
              <w:t xml:space="preserve">0.16</w:t>
            </w:r>
          </w:p>
        </w:tc>
        <w:tc>
          <w:tcPr/>
          <w:p>
            <w:pPr>
              <w:pStyle w:val="Compact"/>
            </w:pPr>
            <w:r>
              <w:t xml:space="preserve">2757.60</w:t>
            </w:r>
          </w:p>
        </w:tc>
        <w:tc>
          <w:tcPr/>
          <w:p>
            <w:pPr>
              <w:pStyle w:val="Compact"/>
            </w:pPr>
            <w:r>
              <w:t xml:space="preserve">861.60</w:t>
            </w:r>
          </w:p>
        </w:tc>
        <w:tc>
          <w:tcPr/>
          <w:p>
            <w:pPr>
              <w:pStyle w:val="Compact"/>
            </w:pPr>
            <w:r>
              <w:t xml:space="preserve">0.97</w:t>
            </w:r>
          </w:p>
        </w:tc>
        <w:tc>
          <w:tcPr/>
          <w:p>
            <w:pPr>
              <w:pStyle w:val="Compact"/>
            </w:pPr>
            <w:r>
              <w:t xml:space="preserve">0.27</w:t>
            </w:r>
          </w:p>
        </w:tc>
        <w:tc>
          <w:tcPr/>
          <w:p>
            <w:pPr>
              <w:pStyle w:val="Compact"/>
            </w:pPr>
            <w:r>
              <w:t xml:space="preserve">2.43</w:t>
            </w:r>
          </w:p>
        </w:tc>
        <w:tc>
          <w:tcPr/>
          <w:p>
            <w:pPr>
              <w:pStyle w:val="Compact"/>
            </w:pPr>
            <w:r>
              <w:t xml:space="preserve">-0.00</w:t>
            </w:r>
          </w:p>
        </w:tc>
      </w:tr>
      <w:tr>
        <w:tc>
          <w:tcPr/>
          <w:p>
            <w:pPr>
              <w:pStyle w:val="Compact"/>
            </w:pPr>
            <w:r>
              <w:t xml:space="preserve">2025_Q1</w:t>
            </w:r>
          </w:p>
        </w:tc>
        <w:tc>
          <w:tcPr/>
          <w:p>
            <w:pPr>
              <w:pStyle w:val="Compact"/>
            </w:pPr>
            <w:r>
              <w:t xml:space="preserve">NQ</w:t>
            </w:r>
          </w:p>
        </w:tc>
        <w:tc>
          <w:tcPr/>
          <w:p>
            <w:pPr>
              <w:pStyle w:val="Compact"/>
            </w:pPr>
            <w:r>
              <w:t xml:space="preserve">0.54</w:t>
            </w:r>
          </w:p>
        </w:tc>
        <w:tc>
          <w:tcPr/>
          <w:p>
            <w:pPr>
              <w:pStyle w:val="Compact"/>
            </w:pPr>
            <w:r>
              <w:t xml:space="preserve">0.33</w:t>
            </w:r>
          </w:p>
        </w:tc>
        <w:tc>
          <w:tcPr/>
          <w:p>
            <w:pPr>
              <w:pStyle w:val="Compact"/>
            </w:pPr>
            <w:r>
              <w:t xml:space="preserve">5660.44</w:t>
            </w:r>
          </w:p>
        </w:tc>
        <w:tc>
          <w:tcPr/>
          <w:p>
            <w:pPr>
              <w:pStyle w:val="Compact"/>
            </w:pPr>
            <w:r>
              <w:t xml:space="preserve">3404.44</w:t>
            </w:r>
          </w:p>
        </w:tc>
        <w:tc>
          <w:tcPr/>
          <w:p>
            <w:pPr>
              <w:pStyle w:val="Compact"/>
            </w:pPr>
            <w:r>
              <w:t xml:space="preserve">0.98</w:t>
            </w:r>
          </w:p>
        </w:tc>
        <w:tc>
          <w:tcPr/>
          <w:p>
            <w:pPr>
              <w:pStyle w:val="Compact"/>
            </w:pPr>
            <w:r>
              <w:t xml:space="preserve">0.57</w:t>
            </w:r>
          </w:p>
        </w:tc>
        <w:tc>
          <w:tcPr/>
          <w:p>
            <w:pPr>
              <w:pStyle w:val="Compact"/>
            </w:pPr>
            <w:r>
              <w:t xml:space="preserve">2.98</w:t>
            </w:r>
          </w:p>
        </w:tc>
        <w:tc>
          <w:tcPr/>
          <w:p>
            <w:pPr>
              <w:pStyle w:val="Compact"/>
            </w:pPr>
            <w:r>
              <w:t xml:space="preserve">-0.21</w:t>
            </w:r>
          </w:p>
        </w:tc>
      </w:tr>
      <w:tr>
        <w:tc>
          <w:tcPr/>
          <w:p>
            <w:pPr>
              <w:pStyle w:val="Compact"/>
            </w:pPr>
            <w:r>
              <w:t xml:space="preserve">2025_Q1</w:t>
            </w:r>
          </w:p>
        </w:tc>
        <w:tc>
          <w:tcPr/>
          <w:p>
            <w:pPr>
              <w:pStyle w:val="Compact"/>
            </w:pPr>
            <w:r>
              <w:t xml:space="preserve">SP</w:t>
            </w:r>
          </w:p>
        </w:tc>
        <w:tc>
          <w:tcPr/>
          <w:p>
            <w:pPr>
              <w:pStyle w:val="Compact"/>
            </w:pPr>
            <w:r>
              <w:t xml:space="preserve">4.06</w:t>
            </w:r>
          </w:p>
        </w:tc>
        <w:tc>
          <w:tcPr/>
          <w:p>
            <w:pPr>
              <w:pStyle w:val="Compact"/>
            </w:pPr>
            <w:r>
              <w:t xml:space="preserve">3.81</w:t>
            </w:r>
          </w:p>
        </w:tc>
        <w:tc>
          <w:tcPr/>
          <w:p>
            <w:pPr>
              <w:pStyle w:val="Compact"/>
            </w:pPr>
            <w:r>
              <w:t xml:space="preserve">30609.65</w:t>
            </w:r>
          </w:p>
        </w:tc>
        <w:tc>
          <w:tcPr/>
          <w:p>
            <w:pPr>
              <w:pStyle w:val="Compact"/>
            </w:pPr>
            <w:r>
              <w:t xml:space="preserve">28617.65</w:t>
            </w:r>
          </w:p>
        </w:tc>
        <w:tc>
          <w:tcPr/>
          <w:p>
            <w:pPr>
              <w:pStyle w:val="Compact"/>
            </w:pPr>
            <w:r>
              <w:t xml:space="preserve">28.57</w:t>
            </w:r>
          </w:p>
        </w:tc>
        <w:tc>
          <w:tcPr/>
          <w:p>
            <w:pPr>
              <w:pStyle w:val="Compact"/>
            </w:pPr>
            <w:r>
              <w:t xml:space="preserve">25.70</w:t>
            </w:r>
          </w:p>
        </w:tc>
        <w:tc>
          <w:tcPr/>
          <w:p>
            <w:pPr>
              <w:pStyle w:val="Compact"/>
            </w:pPr>
            <w:r>
              <w:t xml:space="preserve">2.63</w:t>
            </w:r>
          </w:p>
        </w:tc>
        <w:tc>
          <w:tcPr/>
          <w:p>
            <w:pPr>
              <w:pStyle w:val="Compact"/>
            </w:pPr>
            <w:r>
              <w:t xml:space="preserve">11.12</w:t>
            </w:r>
          </w:p>
        </w:tc>
      </w:tr>
      <w:tr>
        <w:tc>
          <w:tcPr/>
          <w:p>
            <w:pPr>
              <w:pStyle w:val="Compact"/>
            </w:pPr>
            <w:r>
              <w:t xml:space="preserve">2025_Q2</w:t>
            </w:r>
          </w:p>
        </w:tc>
        <w:tc>
          <w:tcPr/>
          <w:p>
            <w:pPr>
              <w:pStyle w:val="Compact"/>
            </w:pPr>
            <w:r>
              <w:t xml:space="preserve">NQ</w:t>
            </w:r>
          </w:p>
        </w:tc>
        <w:tc>
          <w:tcPr/>
          <w:p>
            <w:pPr>
              <w:pStyle w:val="Compact"/>
            </w:pPr>
            <w:r>
              <w:t xml:space="preserve">0.33</w:t>
            </w:r>
          </w:p>
        </w:tc>
        <w:tc>
          <w:tcPr/>
          <w:p>
            <w:pPr>
              <w:pStyle w:val="Compact"/>
            </w:pPr>
            <w:r>
              <w:t xml:space="preserve">0.25</w:t>
            </w:r>
          </w:p>
        </w:tc>
        <w:tc>
          <w:tcPr/>
          <w:p>
            <w:pPr>
              <w:pStyle w:val="Compact"/>
            </w:pPr>
            <w:r>
              <w:t xml:space="preserve">7438.44</w:t>
            </w:r>
          </w:p>
        </w:tc>
        <w:tc>
          <w:tcPr/>
          <w:p>
            <w:pPr>
              <w:pStyle w:val="Compact"/>
            </w:pPr>
            <w:r>
              <w:t xml:space="preserve">5518.44</w:t>
            </w:r>
          </w:p>
        </w:tc>
        <w:tc>
          <w:tcPr/>
          <w:p>
            <w:pPr>
              <w:pStyle w:val="Compact"/>
            </w:pPr>
            <w:r>
              <w:t xml:space="preserve">0.89</w:t>
            </w:r>
          </w:p>
        </w:tc>
        <w:tc>
          <w:tcPr/>
          <w:p>
            <w:pPr>
              <w:pStyle w:val="Compact"/>
            </w:pPr>
            <w:r>
              <w:t xml:space="preserve">0.64</w:t>
            </w:r>
          </w:p>
        </w:tc>
        <w:tc>
          <w:tcPr/>
          <w:p>
            <w:pPr>
              <w:pStyle w:val="Compact"/>
            </w:pPr>
            <w:r>
              <w:t xml:space="preserve">2.46</w:t>
            </w:r>
          </w:p>
        </w:tc>
        <w:tc>
          <w:tcPr/>
          <w:p>
            <w:pPr>
              <w:pStyle w:val="Compact"/>
            </w:pPr>
            <w:r>
              <w:t xml:space="preserve">-0.43</w:t>
            </w:r>
          </w:p>
        </w:tc>
      </w:tr>
      <w:tr>
        <w:tc>
          <w:tcPr/>
          <w:p>
            <w:pPr>
              <w:pStyle w:val="Compact"/>
            </w:pPr>
            <w:r>
              <w:t xml:space="preserve">2025_Q2</w:t>
            </w:r>
          </w:p>
        </w:tc>
        <w:tc>
          <w:tcPr/>
          <w:p>
            <w:pPr>
              <w:pStyle w:val="Compact"/>
            </w:pPr>
            <w:r>
              <w:t xml:space="preserve">SP</w:t>
            </w:r>
          </w:p>
        </w:tc>
        <w:tc>
          <w:tcPr/>
          <w:p>
            <w:pPr>
              <w:pStyle w:val="Compact"/>
            </w:pPr>
            <w:r>
              <w:t xml:space="preserve">3.87</w:t>
            </w:r>
          </w:p>
        </w:tc>
        <w:tc>
          <w:tcPr/>
          <w:p>
            <w:pPr>
              <w:pStyle w:val="Compact"/>
            </w:pPr>
            <w:r>
              <w:t xml:space="preserve">3.71</w:t>
            </w:r>
          </w:p>
        </w:tc>
        <w:tc>
          <w:tcPr/>
          <w:p>
            <w:pPr>
              <w:pStyle w:val="Compact"/>
            </w:pPr>
            <w:r>
              <w:t xml:space="preserve">42551.35</w:t>
            </w:r>
          </w:p>
        </w:tc>
        <w:tc>
          <w:tcPr/>
          <w:p>
            <w:pPr>
              <w:pStyle w:val="Compact"/>
            </w:pPr>
            <w:r>
              <w:t xml:space="preserve">40607.35</w:t>
            </w:r>
          </w:p>
        </w:tc>
        <w:tc>
          <w:tcPr/>
          <w:p>
            <w:pPr>
              <w:pStyle w:val="Compact"/>
            </w:pPr>
            <w:r>
              <w:t xml:space="preserve">25.84</w:t>
            </w:r>
          </w:p>
        </w:tc>
        <w:tc>
          <w:tcPr/>
          <w:p>
            <w:pPr>
              <w:pStyle w:val="Compact"/>
            </w:pPr>
            <w:r>
              <w:t xml:space="preserve">24.20</w:t>
            </w:r>
          </w:p>
        </w:tc>
        <w:tc>
          <w:tcPr/>
          <w:p>
            <w:pPr>
              <w:pStyle w:val="Compact"/>
            </w:pPr>
            <w:r>
              <w:t xml:space="preserve">2.49</w:t>
            </w:r>
          </w:p>
        </w:tc>
        <w:tc>
          <w:tcPr/>
          <w:p>
            <w:pPr>
              <w:pStyle w:val="Compact"/>
            </w:pPr>
            <w:r>
              <w:t xml:space="preserve">11.87</w:t>
            </w:r>
          </w:p>
        </w:tc>
      </w:tr>
    </w:tbl>
    <w:bookmarkEnd w:id="26"/>
    <w:p>
      <w:pPr>
        <w:pStyle w:val="BodyText"/>
      </w:pPr>
      <w:r>
        <w:rPr>
          <w:b/>
          <w:bCs/>
        </w:rPr>
        <w:t xml:space="preserve">Commentary on the summary table (Group 1):</w:t>
      </w:r>
    </w:p>
    <w:p>
      <w:pPr>
        <w:pStyle w:val="BodyText"/>
      </w:pPr>
      <w:r>
        <w:t xml:space="preserve">The strategy is intentionally</w:t>
      </w:r>
      <w:r>
        <w:t xml:space="preserve"> </w:t>
      </w:r>
      <w:r>
        <w:rPr>
          <w:b/>
          <w:bCs/>
        </w:rPr>
        <w:t xml:space="preserve">diversified by style across assets</w:t>
      </w:r>
      <w:r>
        <w:t xml:space="preserve">: NQ is traded with a momentum/breakout rule, while SP is traded with a mean‑reversion variant.</w:t>
      </w:r>
      <w:r>
        <w:t xml:space="preserve"> </w:t>
      </w:r>
      <w:r>
        <w:t xml:space="preserve">This creates a regime-dependent profile: trending quarters tend to benefit NQ, while choppy/oscillating quarters tend to benefit SP.</w:t>
      </w:r>
      <w:r>
        <w:t xml:space="preserve"> </w:t>
      </w:r>
      <w:r>
        <w:t xml:space="preserve">Across quarters, the difference between</w:t>
      </w:r>
      <w:r>
        <w:t xml:space="preserve"> </w:t>
      </w:r>
      <w:r>
        <w:rPr>
          <w:b/>
          <w:bCs/>
        </w:rPr>
        <w:t xml:space="preserve">gross</w:t>
      </w:r>
      <w:r>
        <w:t xml:space="preserve"> </w:t>
      </w:r>
      <w:r>
        <w:t xml:space="preserve">and</w:t>
      </w:r>
      <w:r>
        <w:t xml:space="preserve"> </w:t>
      </w:r>
      <w:r>
        <w:rPr>
          <w:b/>
          <w:bCs/>
        </w:rPr>
        <w:t xml:space="preserve">net</w:t>
      </w:r>
      <w:r>
        <w:t xml:space="preserve"> </w:t>
      </w:r>
      <w:r>
        <w:t xml:space="preserve">metrics highlights that</w:t>
      </w:r>
      <w:r>
        <w:t xml:space="preserve"> </w:t>
      </w:r>
      <w:r>
        <w:rPr>
          <w:b/>
          <w:bCs/>
        </w:rPr>
        <w:t xml:space="preserve">transaction costs and turnover are economically meaningful</w:t>
      </w:r>
      <w:r>
        <w:t xml:space="preserve">; in lower-edge periods the cost drag can dominate.</w:t>
      </w:r>
    </w:p>
    <w:bookmarkEnd w:id="27"/>
    <w:bookmarkStart w:id="34" w:name="equity-line-for-group-1-2023q1"/>
    <w:p>
      <w:pPr>
        <w:pStyle w:val="Heading2"/>
      </w:pPr>
      <w:r>
        <w:t xml:space="preserve">Equity line for</w:t>
      </w:r>
      <w:r>
        <w:t xml:space="preserve"> </w:t>
      </w:r>
      <w:r>
        <w:rPr>
          <w:b/>
          <w:bCs/>
        </w:rPr>
        <w:t xml:space="preserve">group 1</w:t>
      </w:r>
      <w:r>
        <w:t xml:space="preserve"> </w:t>
      </w:r>
      <w:r>
        <w:t xml:space="preserve">– 2023Q1</w:t>
      </w:r>
    </w:p>
    <w:p>
      <w:pPr>
        <w:pStyle w:val="FirstParagraph"/>
      </w:pPr>
      <w:r>
        <w:drawing>
          <wp:inline>
            <wp:extent cx="5334000" cy="2777758"/>
            <wp:effectExtent b="0" l="0" r="0" t="0"/>
            <wp:docPr descr="" title="" id="29" name="Picture"/>
            <a:graphic>
              <a:graphicData uri="http://schemas.openxmlformats.org/drawingml/2006/picture">
                <pic:pic>
                  <pic:nvPicPr>
                    <pic:cNvPr descr="final_report_word_files/figure-docx/cell-4-output-1.png" id="30" name="Picture"/>
                    <pic:cNvPicPr>
                      <a:picLocks noChangeArrowheads="1" noChangeAspect="1"/>
                    </pic:cNvPicPr>
                  </pic:nvPicPr>
                  <pic:blipFill>
                    <a:blip r:embed="rId28"/>
                    <a:stretch>
                      <a:fillRect/>
                    </a:stretch>
                  </pic:blipFill>
                  <pic:spPr bwMode="auto">
                    <a:xfrm>
                      <a:off x="0" y="0"/>
                      <a:ext cx="5334000" cy="2777758"/>
                    </a:xfrm>
                    <a:prstGeom prst="rect">
                      <a:avLst/>
                    </a:prstGeom>
                    <a:noFill/>
                    <a:ln w="9525">
                      <a:noFill/>
                      <a:headEnd/>
                      <a:tailEnd/>
                    </a:ln>
                  </pic:spPr>
                </pic:pic>
              </a:graphicData>
            </a:graphic>
          </wp:inline>
        </w:drawing>
      </w:r>
    </w:p>
    <w:p>
      <w:pPr>
        <w:pStyle w:val="BodyText"/>
      </w:pPr>
      <w:r>
        <w:drawing>
          <wp:inline>
            <wp:extent cx="5334000" cy="2770453"/>
            <wp:effectExtent b="0" l="0" r="0" t="0"/>
            <wp:docPr descr="" title="" id="32" name="Picture"/>
            <a:graphic>
              <a:graphicData uri="http://schemas.openxmlformats.org/drawingml/2006/picture">
                <pic:pic>
                  <pic:nvPicPr>
                    <pic:cNvPr descr="final_report_word_files/figure-docx/cell-4-output-2.png" id="33" name="Picture"/>
                    <pic:cNvPicPr>
                      <a:picLocks noChangeArrowheads="1" noChangeAspect="1"/>
                    </pic:cNvPicPr>
                  </pic:nvPicPr>
                  <pic:blipFill>
                    <a:blip r:embed="rId31"/>
                    <a:stretch>
                      <a:fillRect/>
                    </a:stretch>
                  </pic:blipFill>
                  <pic:spPr bwMode="auto">
                    <a:xfrm>
                      <a:off x="0" y="0"/>
                      <a:ext cx="5334000" cy="2770453"/>
                    </a:xfrm>
                    <a:prstGeom prst="rect">
                      <a:avLst/>
                    </a:prstGeom>
                    <a:noFill/>
                    <a:ln w="9525">
                      <a:noFill/>
                      <a:headEnd/>
                      <a:tailEnd/>
                    </a:ln>
                  </pic:spPr>
                </pic:pic>
              </a:graphicData>
            </a:graphic>
          </wp:inline>
        </w:drawing>
      </w:r>
    </w:p>
    <w:p>
      <w:pPr>
        <w:pStyle w:val="BodyText"/>
      </w:pPr>
      <w:r>
        <w:rPr>
          <w:b/>
          <w:bCs/>
        </w:rPr>
        <w:t xml:space="preserve">NQ (MOM) – 2023Q1:</w:t>
      </w:r>
      <w:r>
        <w:t xml:space="preserve"> </w:t>
      </w:r>
      <w:r>
        <w:t xml:space="preserve">Strong quarter with a sustained positive net equity drift. The breakout component benefits from persistent directional moves, and the gap between gross and net is present but does not change the conclusion.</w:t>
      </w:r>
    </w:p>
    <w:p>
      <w:pPr>
        <w:pStyle w:val="BodyText"/>
      </w:pPr>
      <w:r>
        <w:rPr>
          <w:b/>
          <w:bCs/>
        </w:rPr>
        <w:t xml:space="preserve">SP (MR) – 2023Q1:</w:t>
      </w:r>
      <w:r>
        <w:t xml:space="preserve"> </w:t>
      </w:r>
      <w:r>
        <w:t xml:space="preserve">Weak/negative quarter. Mean-reversion signals struggle when moves are persistent or when reversals are not clean; the cost drag further worsens the net equity line.</w:t>
      </w:r>
    </w:p>
    <w:bookmarkEnd w:id="34"/>
    <w:bookmarkStart w:id="35" w:name="equity-line-for-group-1-2023q2"/>
    <w:p>
      <w:pPr>
        <w:pStyle w:val="Heading2"/>
      </w:pPr>
      <w:r>
        <w:t xml:space="preserve">Equity line for</w:t>
      </w:r>
      <w:r>
        <w:t xml:space="preserve"> </w:t>
      </w:r>
      <w:r>
        <w:rPr>
          <w:b/>
          <w:bCs/>
        </w:rPr>
        <w:t xml:space="preserve">group 1</w:t>
      </w:r>
      <w:r>
        <w:t xml:space="preserve"> </w:t>
      </w:r>
      <w:r>
        <w:t xml:space="preserve">– 2023Q2</w:t>
      </w:r>
    </w:p>
    <w:p>
      <w:pPr>
        <w:pStyle w:val="FirstParagraph"/>
      </w:pPr>
      <w:r>
        <w:rPr>
          <w:b/>
          <w:bCs/>
        </w:rPr>
        <w:t xml:space="preserve">Comment:</w:t>
      </w:r>
      <w:r>
        <w:t xml:space="preserve"> </w:t>
      </w:r>
      <w:r>
        <w:t xml:space="preserve">2023Q2 was not included in the current Group 1 evaluation run/output set. If required, add the quarter to the</w:t>
      </w:r>
      <w:r>
        <w:t xml:space="preserve"> </w:t>
      </w:r>
      <w:r>
        <w:rPr>
          <w:rStyle w:val="VerbatimChar"/>
        </w:rPr>
        <w:t xml:space="preserve">quarters</w:t>
      </w:r>
      <w:r>
        <w:t xml:space="preserve"> </w:t>
      </w:r>
      <w:r>
        <w:t xml:space="preserve">list in</w:t>
      </w:r>
      <w:r>
        <w:t xml:space="preserve"> </w:t>
      </w:r>
      <w:r>
        <w:rPr>
          <w:rStyle w:val="VerbatimChar"/>
        </w:rPr>
        <w:t xml:space="preserve">final_strategy_group1.py</w:t>
      </w:r>
      <w:r>
        <w:t xml:space="preserve"> </w:t>
      </w:r>
      <w:r>
        <w:t xml:space="preserve">and re-render.</w:t>
      </w:r>
    </w:p>
    <w:bookmarkEnd w:id="35"/>
    <w:bookmarkStart w:id="42" w:name="equity-line-for-group-1-2023q3"/>
    <w:p>
      <w:pPr>
        <w:pStyle w:val="Heading2"/>
      </w:pPr>
      <w:r>
        <w:t xml:space="preserve">Equity line for</w:t>
      </w:r>
      <w:r>
        <w:t xml:space="preserve"> </w:t>
      </w:r>
      <w:r>
        <w:rPr>
          <w:b/>
          <w:bCs/>
        </w:rPr>
        <w:t xml:space="preserve">group 1</w:t>
      </w:r>
      <w:r>
        <w:t xml:space="preserve"> </w:t>
      </w:r>
      <w:r>
        <w:t xml:space="preserve">– 2023Q3</w:t>
      </w:r>
    </w:p>
    <w:p>
      <w:pPr>
        <w:pStyle w:val="FirstParagraph"/>
      </w:pPr>
      <w:r>
        <w:drawing>
          <wp:inline>
            <wp:extent cx="5334000" cy="2744291"/>
            <wp:effectExtent b="0" l="0" r="0" t="0"/>
            <wp:docPr descr="" title="" id="37" name="Picture"/>
            <a:graphic>
              <a:graphicData uri="http://schemas.openxmlformats.org/drawingml/2006/picture">
                <pic:pic>
                  <pic:nvPicPr>
                    <pic:cNvPr descr="final_report_word_files/figure-docx/cell-6-output-1.png" id="38" name="Picture"/>
                    <pic:cNvPicPr>
                      <a:picLocks noChangeArrowheads="1" noChangeAspect="1"/>
                    </pic:cNvPicPr>
                  </pic:nvPicPr>
                  <pic:blipFill>
                    <a:blip r:embed="rId36"/>
                    <a:stretch>
                      <a:fillRect/>
                    </a:stretch>
                  </pic:blipFill>
                  <pic:spPr bwMode="auto">
                    <a:xfrm>
                      <a:off x="0" y="0"/>
                      <a:ext cx="5334000" cy="2744291"/>
                    </a:xfrm>
                    <a:prstGeom prst="rect">
                      <a:avLst/>
                    </a:prstGeom>
                    <a:noFill/>
                    <a:ln w="9525">
                      <a:noFill/>
                      <a:headEnd/>
                      <a:tailEnd/>
                    </a:ln>
                  </pic:spPr>
                </pic:pic>
              </a:graphicData>
            </a:graphic>
          </wp:inline>
        </w:drawing>
      </w:r>
    </w:p>
    <w:p>
      <w:pPr>
        <w:pStyle w:val="BodyText"/>
      </w:pPr>
      <w:r>
        <w:drawing>
          <wp:inline>
            <wp:extent cx="5334000" cy="2744291"/>
            <wp:effectExtent b="0" l="0" r="0" t="0"/>
            <wp:docPr descr="" title="" id="40" name="Picture"/>
            <a:graphic>
              <a:graphicData uri="http://schemas.openxmlformats.org/drawingml/2006/picture">
                <pic:pic>
                  <pic:nvPicPr>
                    <pic:cNvPr descr="final_report_word_files/figure-docx/cell-6-output-2.png" id="41" name="Picture"/>
                    <pic:cNvPicPr>
                      <a:picLocks noChangeArrowheads="1" noChangeAspect="1"/>
                    </pic:cNvPicPr>
                  </pic:nvPicPr>
                  <pic:blipFill>
                    <a:blip r:embed="rId39"/>
                    <a:stretch>
                      <a:fillRect/>
                    </a:stretch>
                  </pic:blipFill>
                  <pic:spPr bwMode="auto">
                    <a:xfrm>
                      <a:off x="0" y="0"/>
                      <a:ext cx="5334000" cy="2744291"/>
                    </a:xfrm>
                    <a:prstGeom prst="rect">
                      <a:avLst/>
                    </a:prstGeom>
                    <a:noFill/>
                    <a:ln w="9525">
                      <a:noFill/>
                      <a:headEnd/>
                      <a:tailEnd/>
                    </a:ln>
                  </pic:spPr>
                </pic:pic>
              </a:graphicData>
            </a:graphic>
          </wp:inline>
        </w:drawing>
      </w:r>
    </w:p>
    <w:p>
      <w:pPr>
        <w:pStyle w:val="BodyText"/>
      </w:pPr>
      <w:r>
        <w:rPr>
          <w:b/>
          <w:bCs/>
        </w:rPr>
        <w:t xml:space="preserve">NQ (MOM) – 2023Q3:</w:t>
      </w:r>
      <w:r>
        <w:t xml:space="preserve"> </w:t>
      </w:r>
      <w:r>
        <w:t xml:space="preserve">Lower-edge quarter for momentum: equity is flatter with smaller gains and longer stagnant periods. In these conditions, the turnover/cost drag becomes more visible relative to the signal edge.</w:t>
      </w:r>
    </w:p>
    <w:p>
      <w:pPr>
        <w:pStyle w:val="BodyText"/>
      </w:pPr>
      <w:r>
        <w:rPr>
          <w:b/>
          <w:bCs/>
        </w:rPr>
        <w:t xml:space="preserve">SP (MR) – 2023Q3:</w:t>
      </w:r>
      <w:r>
        <w:t xml:space="preserve"> </w:t>
      </w:r>
      <w:r>
        <w:t xml:space="preserve">Clear positive quarter. A more two‑sided/oscillating regime supports mean‑reversion entries, producing a steadier net equity climb.</w:t>
      </w:r>
    </w:p>
    <w:bookmarkEnd w:id="42"/>
    <w:bookmarkStart w:id="49" w:name="equity-line-for-group-1-2023q4"/>
    <w:p>
      <w:pPr>
        <w:pStyle w:val="Heading2"/>
      </w:pPr>
      <w:r>
        <w:t xml:space="preserve">Equity line for</w:t>
      </w:r>
      <w:r>
        <w:t xml:space="preserve"> </w:t>
      </w:r>
      <w:r>
        <w:rPr>
          <w:b/>
          <w:bCs/>
        </w:rPr>
        <w:t xml:space="preserve">group 1</w:t>
      </w:r>
      <w:r>
        <w:t xml:space="preserve"> </w:t>
      </w:r>
      <w:r>
        <w:t xml:space="preserve">– 2023Q4</w:t>
      </w:r>
    </w:p>
    <w:p>
      <w:pPr>
        <w:pStyle w:val="FirstParagraph"/>
      </w:pPr>
      <w:r>
        <w:drawing>
          <wp:inline>
            <wp:extent cx="5334000" cy="2725653"/>
            <wp:effectExtent b="0" l="0" r="0" t="0"/>
            <wp:docPr descr="" title="" id="44" name="Picture"/>
            <a:graphic>
              <a:graphicData uri="http://schemas.openxmlformats.org/drawingml/2006/picture">
                <pic:pic>
                  <pic:nvPicPr>
                    <pic:cNvPr descr="final_report_word_files/figure-docx/cell-7-output-1.png" id="45" name="Picture"/>
                    <pic:cNvPicPr>
                      <a:picLocks noChangeArrowheads="1" noChangeAspect="1"/>
                    </pic:cNvPicPr>
                  </pic:nvPicPr>
                  <pic:blipFill>
                    <a:blip r:embed="rId43"/>
                    <a:stretch>
                      <a:fillRect/>
                    </a:stretch>
                  </pic:blipFill>
                  <pic:spPr bwMode="auto">
                    <a:xfrm>
                      <a:off x="0" y="0"/>
                      <a:ext cx="5334000" cy="2725653"/>
                    </a:xfrm>
                    <a:prstGeom prst="rect">
                      <a:avLst/>
                    </a:prstGeom>
                    <a:noFill/>
                    <a:ln w="9525">
                      <a:noFill/>
                      <a:headEnd/>
                      <a:tailEnd/>
                    </a:ln>
                  </pic:spPr>
                </pic:pic>
              </a:graphicData>
            </a:graphic>
          </wp:inline>
        </w:drawing>
      </w:r>
    </w:p>
    <w:p>
      <w:pPr>
        <w:pStyle w:val="BodyText"/>
      </w:pPr>
      <w:r>
        <w:drawing>
          <wp:inline>
            <wp:extent cx="5334000" cy="2718619"/>
            <wp:effectExtent b="0" l="0" r="0" t="0"/>
            <wp:docPr descr="" title="" id="47" name="Picture"/>
            <a:graphic>
              <a:graphicData uri="http://schemas.openxmlformats.org/drawingml/2006/picture">
                <pic:pic>
                  <pic:nvPicPr>
                    <pic:cNvPr descr="final_report_word_files/figure-docx/cell-7-output-2.png" id="48" name="Picture"/>
                    <pic:cNvPicPr>
                      <a:picLocks noChangeArrowheads="1" noChangeAspect="1"/>
                    </pic:cNvPicPr>
                  </pic:nvPicPr>
                  <pic:blipFill>
                    <a:blip r:embed="rId46"/>
                    <a:stretch>
                      <a:fillRect/>
                    </a:stretch>
                  </pic:blipFill>
                  <pic:spPr bwMode="auto">
                    <a:xfrm>
                      <a:off x="0" y="0"/>
                      <a:ext cx="5334000" cy="2718619"/>
                    </a:xfrm>
                    <a:prstGeom prst="rect">
                      <a:avLst/>
                    </a:prstGeom>
                    <a:noFill/>
                    <a:ln w="9525">
                      <a:noFill/>
                      <a:headEnd/>
                      <a:tailEnd/>
                    </a:ln>
                  </pic:spPr>
                </pic:pic>
              </a:graphicData>
            </a:graphic>
          </wp:inline>
        </w:drawing>
      </w:r>
    </w:p>
    <w:p>
      <w:pPr>
        <w:pStyle w:val="BodyText"/>
      </w:pPr>
      <w:r>
        <w:rPr>
          <w:b/>
          <w:bCs/>
        </w:rPr>
        <w:t xml:space="preserve">NQ (MOM) – 2023Q4:</w:t>
      </w:r>
      <w:r>
        <w:t xml:space="preserve"> </w:t>
      </w:r>
      <w:r>
        <w:t xml:space="preserve">Good quarter for breakouts, with net equity increasing through multiple trend episodes. Drawdowns exist but are recovered as trends persist long enough to offset costs.</w:t>
      </w:r>
    </w:p>
    <w:p>
      <w:pPr>
        <w:pStyle w:val="BodyText"/>
      </w:pPr>
      <w:r>
        <w:rPr>
          <w:b/>
          <w:bCs/>
        </w:rPr>
        <w:t xml:space="preserve">SP (MR) – 2023Q4:</w:t>
      </w:r>
      <w:r>
        <w:t xml:space="preserve"> </w:t>
      </w:r>
      <w:r>
        <w:t xml:space="preserve">Slightly negative/flat overall. Mean‑reversion opportunities are either weaker or get interrupted by directional moves, leading to a net profile where costs can dominate.</w:t>
      </w:r>
    </w:p>
    <w:bookmarkEnd w:id="49"/>
    <w:bookmarkStart w:id="50" w:name="equity-line-for-group-1-2024q1"/>
    <w:p>
      <w:pPr>
        <w:pStyle w:val="Heading2"/>
      </w:pPr>
      <w:r>
        <w:t xml:space="preserve">Equity line for</w:t>
      </w:r>
      <w:r>
        <w:t xml:space="preserve"> </w:t>
      </w:r>
      <w:r>
        <w:rPr>
          <w:b/>
          <w:bCs/>
        </w:rPr>
        <w:t xml:space="preserve">group 1</w:t>
      </w:r>
      <w:r>
        <w:t xml:space="preserve"> </w:t>
      </w:r>
      <w:r>
        <w:t xml:space="preserve">– 2024Q1</w:t>
      </w:r>
    </w:p>
    <w:p>
      <w:pPr>
        <w:pStyle w:val="FirstParagraph"/>
      </w:pPr>
      <w:r>
        <w:rPr>
          <w:b/>
          <w:bCs/>
        </w:rPr>
        <w:t xml:space="preserve">Comment:</w:t>
      </w:r>
      <w:r>
        <w:t xml:space="preserve"> </w:t>
      </w:r>
      <w:r>
        <w:t xml:space="preserve">2024Q1 was not included in the current Group 1 evaluation run/output set.</w:t>
      </w:r>
    </w:p>
    <w:bookmarkEnd w:id="50"/>
    <w:bookmarkStart w:id="57" w:name="equity-line-for-group-1-2024q2"/>
    <w:p>
      <w:pPr>
        <w:pStyle w:val="Heading2"/>
      </w:pPr>
      <w:r>
        <w:t xml:space="preserve">Equity line for</w:t>
      </w:r>
      <w:r>
        <w:t xml:space="preserve"> </w:t>
      </w:r>
      <w:r>
        <w:rPr>
          <w:b/>
          <w:bCs/>
        </w:rPr>
        <w:t xml:space="preserve">group 1</w:t>
      </w:r>
      <w:r>
        <w:t xml:space="preserve"> </w:t>
      </w:r>
      <w:r>
        <w:t xml:space="preserve">– 2024Q2</w:t>
      </w:r>
    </w:p>
    <w:p>
      <w:pPr>
        <w:pStyle w:val="FirstParagraph"/>
      </w:pPr>
      <w:r>
        <w:drawing>
          <wp:inline>
            <wp:extent cx="5334000" cy="2695145"/>
            <wp:effectExtent b="0" l="0" r="0" t="0"/>
            <wp:docPr descr="" title="" id="52" name="Picture"/>
            <a:graphic>
              <a:graphicData uri="http://schemas.openxmlformats.org/drawingml/2006/picture">
                <pic:pic>
                  <pic:nvPicPr>
                    <pic:cNvPr descr="final_report_word_files/figure-docx/cell-9-output-1.png" id="53" name="Picture"/>
                    <pic:cNvPicPr>
                      <a:picLocks noChangeArrowheads="1" noChangeAspect="1"/>
                    </pic:cNvPicPr>
                  </pic:nvPicPr>
                  <pic:blipFill>
                    <a:blip r:embed="rId51"/>
                    <a:stretch>
                      <a:fillRect/>
                    </a:stretch>
                  </pic:blipFill>
                  <pic:spPr bwMode="auto">
                    <a:xfrm>
                      <a:off x="0" y="0"/>
                      <a:ext cx="5334000" cy="2695145"/>
                    </a:xfrm>
                    <a:prstGeom prst="rect">
                      <a:avLst/>
                    </a:prstGeom>
                    <a:noFill/>
                    <a:ln w="9525">
                      <a:noFill/>
                      <a:headEnd/>
                      <a:tailEnd/>
                    </a:ln>
                  </pic:spPr>
                </pic:pic>
              </a:graphicData>
            </a:graphic>
          </wp:inline>
        </w:drawing>
      </w:r>
    </w:p>
    <w:p>
      <w:pPr>
        <w:pStyle w:val="BodyText"/>
      </w:pPr>
      <w:r>
        <w:drawing>
          <wp:inline>
            <wp:extent cx="5334000" cy="2725653"/>
            <wp:effectExtent b="0" l="0" r="0" t="0"/>
            <wp:docPr descr="" title="" id="55" name="Picture"/>
            <a:graphic>
              <a:graphicData uri="http://schemas.openxmlformats.org/drawingml/2006/picture">
                <pic:pic>
                  <pic:nvPicPr>
                    <pic:cNvPr descr="final_report_word_files/figure-docx/cell-9-output-2.png" id="56" name="Picture"/>
                    <pic:cNvPicPr>
                      <a:picLocks noChangeArrowheads="1" noChangeAspect="1"/>
                    </pic:cNvPicPr>
                  </pic:nvPicPr>
                  <pic:blipFill>
                    <a:blip r:embed="rId54"/>
                    <a:stretch>
                      <a:fillRect/>
                    </a:stretch>
                  </pic:blipFill>
                  <pic:spPr bwMode="auto">
                    <a:xfrm>
                      <a:off x="0" y="0"/>
                      <a:ext cx="5334000" cy="2725653"/>
                    </a:xfrm>
                    <a:prstGeom prst="rect">
                      <a:avLst/>
                    </a:prstGeom>
                    <a:noFill/>
                    <a:ln w="9525">
                      <a:noFill/>
                      <a:headEnd/>
                      <a:tailEnd/>
                    </a:ln>
                  </pic:spPr>
                </pic:pic>
              </a:graphicData>
            </a:graphic>
          </wp:inline>
        </w:drawing>
      </w:r>
    </w:p>
    <w:p>
      <w:pPr>
        <w:pStyle w:val="BodyText"/>
      </w:pPr>
      <w:r>
        <w:rPr>
          <w:b/>
          <w:bCs/>
        </w:rPr>
        <w:t xml:space="preserve">NQ (MOM) – 2024Q2:</w:t>
      </w:r>
      <w:r>
        <w:t xml:space="preserve"> </w:t>
      </w:r>
      <w:r>
        <w:t xml:space="preserve">Challenging quarter for momentum; choppy/mean‑reverting price action tends to trigger breakouts that fail, creating drawdowns.</w:t>
      </w:r>
    </w:p>
    <w:p>
      <w:pPr>
        <w:pStyle w:val="BodyText"/>
      </w:pPr>
      <w:r>
        <w:rPr>
          <w:b/>
          <w:bCs/>
        </w:rPr>
        <w:t xml:space="preserve">SP (MR) – 2024Q2:</w:t>
      </w:r>
      <w:r>
        <w:t xml:space="preserve"> </w:t>
      </w:r>
      <w:r>
        <w:t xml:space="preserve">One of the strongest quarters for the mean‑reversion leg. Repeated reversals allow the strategy to monetize noise around the slow EMA center while keeping net performance robust after costs.</w:t>
      </w:r>
    </w:p>
    <w:bookmarkEnd w:id="57"/>
    <w:bookmarkStart w:id="58" w:name="equity-line-for-group-1-2024q3"/>
    <w:p>
      <w:pPr>
        <w:pStyle w:val="Heading2"/>
      </w:pPr>
      <w:r>
        <w:t xml:space="preserve">Equity line for</w:t>
      </w:r>
      <w:r>
        <w:t xml:space="preserve"> </w:t>
      </w:r>
      <w:r>
        <w:rPr>
          <w:b/>
          <w:bCs/>
        </w:rPr>
        <w:t xml:space="preserve">group 1</w:t>
      </w:r>
      <w:r>
        <w:t xml:space="preserve"> </w:t>
      </w:r>
      <w:r>
        <w:t xml:space="preserve">– 2024Q3</w:t>
      </w:r>
    </w:p>
    <w:p>
      <w:pPr>
        <w:pStyle w:val="FirstParagraph"/>
      </w:pPr>
      <w:r>
        <w:rPr>
          <w:b/>
          <w:bCs/>
        </w:rPr>
        <w:t xml:space="preserve">Comment:</w:t>
      </w:r>
      <w:r>
        <w:t xml:space="preserve"> </w:t>
      </w:r>
      <w:r>
        <w:t xml:space="preserve">2024Q3 was not included in the current Group 1 evaluation run/output set.</w:t>
      </w:r>
    </w:p>
    <w:bookmarkEnd w:id="58"/>
    <w:bookmarkStart w:id="65" w:name="equity-line-for-group-1-2024q4"/>
    <w:p>
      <w:pPr>
        <w:pStyle w:val="Heading2"/>
      </w:pPr>
      <w:r>
        <w:t xml:space="preserve">Equity line for</w:t>
      </w:r>
      <w:r>
        <w:t xml:space="preserve"> </w:t>
      </w:r>
      <w:r>
        <w:rPr>
          <w:b/>
          <w:bCs/>
        </w:rPr>
        <w:t xml:space="preserve">group 1</w:t>
      </w:r>
      <w:r>
        <w:t xml:space="preserve"> </w:t>
      </w:r>
      <w:r>
        <w:t xml:space="preserve">– 2024Q4</w:t>
      </w:r>
    </w:p>
    <w:p>
      <w:pPr>
        <w:pStyle w:val="FirstParagraph"/>
      </w:pPr>
      <w:r>
        <w:drawing>
          <wp:inline>
            <wp:extent cx="5334000" cy="2771364"/>
            <wp:effectExtent b="0" l="0" r="0" t="0"/>
            <wp:docPr descr="" title="" id="60" name="Picture"/>
            <a:graphic>
              <a:graphicData uri="http://schemas.openxmlformats.org/drawingml/2006/picture">
                <pic:pic>
                  <pic:nvPicPr>
                    <pic:cNvPr descr="final_report_word_files/figure-docx/cell-11-output-1.png" id="61" name="Picture"/>
                    <pic:cNvPicPr>
                      <a:picLocks noChangeArrowheads="1" noChangeAspect="1"/>
                    </pic:cNvPicPr>
                  </pic:nvPicPr>
                  <pic:blipFill>
                    <a:blip r:embed="rId59"/>
                    <a:stretch>
                      <a:fillRect/>
                    </a:stretch>
                  </pic:blipFill>
                  <pic:spPr bwMode="auto">
                    <a:xfrm>
                      <a:off x="0" y="0"/>
                      <a:ext cx="5334000" cy="2771364"/>
                    </a:xfrm>
                    <a:prstGeom prst="rect">
                      <a:avLst/>
                    </a:prstGeom>
                    <a:noFill/>
                    <a:ln w="9525">
                      <a:noFill/>
                      <a:headEnd/>
                      <a:tailEnd/>
                    </a:ln>
                  </pic:spPr>
                </pic:pic>
              </a:graphicData>
            </a:graphic>
          </wp:inline>
        </w:drawing>
      </w:r>
    </w:p>
    <w:p>
      <w:pPr>
        <w:pStyle w:val="BodyText"/>
      </w:pPr>
      <w:r>
        <w:drawing>
          <wp:inline>
            <wp:extent cx="5334000" cy="2746975"/>
            <wp:effectExtent b="0" l="0" r="0" t="0"/>
            <wp:docPr descr="" title="" id="63" name="Picture"/>
            <a:graphic>
              <a:graphicData uri="http://schemas.openxmlformats.org/drawingml/2006/picture">
                <pic:pic>
                  <pic:nvPicPr>
                    <pic:cNvPr descr="final_report_word_files/figure-docx/cell-11-output-2.png" id="64" name="Picture"/>
                    <pic:cNvPicPr>
                      <a:picLocks noChangeArrowheads="1" noChangeAspect="1"/>
                    </pic:cNvPicPr>
                  </pic:nvPicPr>
                  <pic:blipFill>
                    <a:blip r:embed="rId62"/>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rPr>
          <w:b/>
          <w:bCs/>
        </w:rPr>
        <w:t xml:space="preserve">NQ (MOM) – 2024Q4:</w:t>
      </w:r>
      <w:r>
        <w:t xml:space="preserve"> </w:t>
      </w:r>
      <w:r>
        <w:t xml:space="preserve">Strong quarter with pronounced positive net drift, consistent with sustained moves that favor breakouts.</w:t>
      </w:r>
    </w:p>
    <w:p>
      <w:pPr>
        <w:pStyle w:val="BodyText"/>
      </w:pPr>
      <w:r>
        <w:rPr>
          <w:b/>
          <w:bCs/>
        </w:rPr>
        <w:t xml:space="preserve">SP (MR) – 2024Q4:</w:t>
      </w:r>
      <w:r>
        <w:t xml:space="preserve"> </w:t>
      </w:r>
      <w:r>
        <w:t xml:space="preserve">Near-flat/slightly positive quarter. Gross gains are relatively small and transaction costs consume a meaningful part of the edge.</w:t>
      </w:r>
    </w:p>
    <w:bookmarkEnd w:id="65"/>
    <w:bookmarkStart w:id="72" w:name="equity-line-for-group-1-2025q1"/>
    <w:p>
      <w:pPr>
        <w:pStyle w:val="Heading2"/>
      </w:pPr>
      <w:r>
        <w:t xml:space="preserve">Equity line for</w:t>
      </w:r>
      <w:r>
        <w:t xml:space="preserve"> </w:t>
      </w:r>
      <w:r>
        <w:rPr>
          <w:b/>
          <w:bCs/>
        </w:rPr>
        <w:t xml:space="preserve">group 1</w:t>
      </w:r>
      <w:r>
        <w:t xml:space="preserve"> </w:t>
      </w:r>
      <w:r>
        <w:t xml:space="preserve">– 2025Q1</w:t>
      </w:r>
    </w:p>
    <w:p>
      <w:pPr>
        <w:pStyle w:val="FirstParagraph"/>
      </w:pPr>
      <w:r>
        <w:drawing>
          <wp:inline>
            <wp:extent cx="5334000" cy="2746080"/>
            <wp:effectExtent b="0" l="0" r="0" t="0"/>
            <wp:docPr descr="" title="" id="67" name="Picture"/>
            <a:graphic>
              <a:graphicData uri="http://schemas.openxmlformats.org/drawingml/2006/picture">
                <pic:pic>
                  <pic:nvPicPr>
                    <pic:cNvPr descr="final_report_word_files/figure-docx/cell-12-output-1.png" id="68" name="Picture"/>
                    <pic:cNvPicPr>
                      <a:picLocks noChangeArrowheads="1" noChangeAspect="1"/>
                    </pic:cNvPicPr>
                  </pic:nvPicPr>
                  <pic:blipFill>
                    <a:blip r:embed="rId66"/>
                    <a:stretch>
                      <a:fillRect/>
                    </a:stretch>
                  </pic:blipFill>
                  <pic:spPr bwMode="auto">
                    <a:xfrm>
                      <a:off x="0" y="0"/>
                      <a:ext cx="5334000" cy="2746080"/>
                    </a:xfrm>
                    <a:prstGeom prst="rect">
                      <a:avLst/>
                    </a:prstGeom>
                    <a:noFill/>
                    <a:ln w="9525">
                      <a:noFill/>
                      <a:headEnd/>
                      <a:tailEnd/>
                    </a:ln>
                  </pic:spPr>
                </pic:pic>
              </a:graphicData>
            </a:graphic>
          </wp:inline>
        </w:drawing>
      </w:r>
    </w:p>
    <w:p>
      <w:pPr>
        <w:pStyle w:val="BodyText"/>
      </w:pPr>
      <w:r>
        <w:drawing>
          <wp:inline>
            <wp:extent cx="5334000" cy="2777758"/>
            <wp:effectExtent b="0" l="0" r="0" t="0"/>
            <wp:docPr descr="" title="" id="70" name="Picture"/>
            <a:graphic>
              <a:graphicData uri="http://schemas.openxmlformats.org/drawingml/2006/picture">
                <pic:pic>
                  <pic:nvPicPr>
                    <pic:cNvPr descr="final_report_word_files/figure-docx/cell-12-output-2.png" id="71" name="Picture"/>
                    <pic:cNvPicPr>
                      <a:picLocks noChangeArrowheads="1" noChangeAspect="1"/>
                    </pic:cNvPicPr>
                  </pic:nvPicPr>
                  <pic:blipFill>
                    <a:blip r:embed="rId69"/>
                    <a:stretch>
                      <a:fillRect/>
                    </a:stretch>
                  </pic:blipFill>
                  <pic:spPr bwMode="auto">
                    <a:xfrm>
                      <a:off x="0" y="0"/>
                      <a:ext cx="5334000" cy="2777758"/>
                    </a:xfrm>
                    <a:prstGeom prst="rect">
                      <a:avLst/>
                    </a:prstGeom>
                    <a:noFill/>
                    <a:ln w="9525">
                      <a:noFill/>
                      <a:headEnd/>
                      <a:tailEnd/>
                    </a:ln>
                  </pic:spPr>
                </pic:pic>
              </a:graphicData>
            </a:graphic>
          </wp:inline>
        </w:drawing>
      </w:r>
    </w:p>
    <w:p>
      <w:pPr>
        <w:pStyle w:val="BodyText"/>
      </w:pPr>
      <w:r>
        <w:rPr>
          <w:b/>
          <w:bCs/>
        </w:rPr>
        <w:t xml:space="preserve">NQ (MOM) – 2025Q1:</w:t>
      </w:r>
      <w:r>
        <w:t xml:space="preserve"> </w:t>
      </w:r>
      <w:r>
        <w:t xml:space="preserve">Modest positive quarter. Momentum edge is present but smaller than in the strongest trend regimes; net still benefits from periods of sustained movement.</w:t>
      </w:r>
    </w:p>
    <w:p>
      <w:pPr>
        <w:pStyle w:val="BodyText"/>
      </w:pPr>
      <w:r>
        <w:rPr>
          <w:b/>
          <w:bCs/>
        </w:rPr>
        <w:t xml:space="preserve">SP (MR) – 2025Q1:</w:t>
      </w:r>
      <w:r>
        <w:t xml:space="preserve"> </w:t>
      </w:r>
      <w:r>
        <w:t xml:space="preserve">Very strong quarter for mean‑reversion. The equity profile indicates frequent, profitable reversals where the strategy can scale gains beyond the cost drag.</w:t>
      </w:r>
    </w:p>
    <w:bookmarkEnd w:id="72"/>
    <w:bookmarkStart w:id="79" w:name="equity-line-for-group-1-2025q2"/>
    <w:p>
      <w:pPr>
        <w:pStyle w:val="Heading2"/>
      </w:pPr>
      <w:r>
        <w:t xml:space="preserve">Equity line for</w:t>
      </w:r>
      <w:r>
        <w:t xml:space="preserve"> </w:t>
      </w:r>
      <w:r>
        <w:rPr>
          <w:b/>
          <w:bCs/>
        </w:rPr>
        <w:t xml:space="preserve">group 1</w:t>
      </w:r>
      <w:r>
        <w:t xml:space="preserve"> </w:t>
      </w:r>
      <w:r>
        <w:t xml:space="preserve">– 2025Q2</w:t>
      </w:r>
    </w:p>
    <w:p>
      <w:pPr>
        <w:pStyle w:val="FirstParagraph"/>
      </w:pPr>
      <w:r>
        <w:drawing>
          <wp:inline>
            <wp:extent cx="5334000" cy="2746975"/>
            <wp:effectExtent b="0" l="0" r="0" t="0"/>
            <wp:docPr descr="" title="" id="74" name="Picture"/>
            <a:graphic>
              <a:graphicData uri="http://schemas.openxmlformats.org/drawingml/2006/picture">
                <pic:pic>
                  <pic:nvPicPr>
                    <pic:cNvPr descr="final_report_word_files/figure-docx/cell-13-output-1.png" id="75" name="Picture"/>
                    <pic:cNvPicPr>
                      <a:picLocks noChangeArrowheads="1" noChangeAspect="1"/>
                    </pic:cNvPicPr>
                  </pic:nvPicPr>
                  <pic:blipFill>
                    <a:blip r:embed="rId73"/>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drawing>
          <wp:inline>
            <wp:extent cx="5334000" cy="2778674"/>
            <wp:effectExtent b="0" l="0" r="0" t="0"/>
            <wp:docPr descr="" title="" id="77" name="Picture"/>
            <a:graphic>
              <a:graphicData uri="http://schemas.openxmlformats.org/drawingml/2006/picture">
                <pic:pic>
                  <pic:nvPicPr>
                    <pic:cNvPr descr="final_report_word_files/figure-docx/cell-13-output-2.png" id="78" name="Picture"/>
                    <pic:cNvPicPr>
                      <a:picLocks noChangeArrowheads="1" noChangeAspect="1"/>
                    </pic:cNvPicPr>
                  </pic:nvPicPr>
                  <pic:blipFill>
                    <a:blip r:embed="rId76"/>
                    <a:stretch>
                      <a:fillRect/>
                    </a:stretch>
                  </pic:blipFill>
                  <pic:spPr bwMode="auto">
                    <a:xfrm>
                      <a:off x="0" y="0"/>
                      <a:ext cx="5334000" cy="2778674"/>
                    </a:xfrm>
                    <a:prstGeom prst="rect">
                      <a:avLst/>
                    </a:prstGeom>
                    <a:noFill/>
                    <a:ln w="9525">
                      <a:noFill/>
                      <a:headEnd/>
                      <a:tailEnd/>
                    </a:ln>
                  </pic:spPr>
                </pic:pic>
              </a:graphicData>
            </a:graphic>
          </wp:inline>
        </w:drawing>
      </w:r>
    </w:p>
    <w:p>
      <w:pPr>
        <w:pStyle w:val="BodyText"/>
      </w:pPr>
      <w:r>
        <w:rPr>
          <w:b/>
          <w:bCs/>
        </w:rPr>
        <w:t xml:space="preserve">NQ (MOM) – 2025Q2:</w:t>
      </w:r>
      <w:r>
        <w:t xml:space="preserve"> </w:t>
      </w:r>
      <w:r>
        <w:t xml:space="preserve">Positive but lower-edge quarter: the net curve rises more gradually and shows sensitivity to transaction costs during sideways stretches.</w:t>
      </w:r>
    </w:p>
    <w:p>
      <w:pPr>
        <w:pStyle w:val="BodyText"/>
      </w:pPr>
      <w:r>
        <w:rPr>
          <w:b/>
          <w:bCs/>
        </w:rPr>
        <w:t xml:space="preserve">SP (MR) – 2025Q2:</w:t>
      </w:r>
      <w:r>
        <w:t xml:space="preserve"> </w:t>
      </w:r>
      <w:r>
        <w:t xml:space="preserve">Strong quarter again; the mean‑reversion leg remains the dominant contributor with a relatively stable net trajectory.</w:t>
      </w:r>
    </w:p>
    <w:bookmarkEnd w:id="79"/>
    <w:bookmarkStart w:id="80" w:name="equity-line-for-group-1-2025q3"/>
    <w:p>
      <w:pPr>
        <w:pStyle w:val="Heading2"/>
      </w:pPr>
      <w:r>
        <w:t xml:space="preserve">Equity line for</w:t>
      </w:r>
      <w:r>
        <w:t xml:space="preserve"> </w:t>
      </w:r>
      <w:r>
        <w:rPr>
          <w:b/>
          <w:bCs/>
        </w:rPr>
        <w:t xml:space="preserve">group 1</w:t>
      </w:r>
      <w:r>
        <w:t xml:space="preserve"> </w:t>
      </w:r>
      <w:r>
        <w:t xml:space="preserve">– 2025Q3</w:t>
      </w:r>
    </w:p>
    <w:p>
      <w:pPr>
        <w:pStyle w:val="FirstParagraph"/>
      </w:pPr>
      <w:r>
        <w:rPr>
          <w:b/>
          <w:bCs/>
        </w:rPr>
        <w:t xml:space="preserve">Comment:</w:t>
      </w:r>
      <w:r>
        <w:t xml:space="preserve"> </w:t>
      </w:r>
      <w:r>
        <w:t xml:space="preserve">2025Q3 was not included in the current Group 1 evaluation run/output set.</w:t>
      </w:r>
    </w:p>
    <w:bookmarkEnd w:id="80"/>
    <w:bookmarkStart w:id="81" w:name="equity-line-for-group-1-2025q4"/>
    <w:p>
      <w:pPr>
        <w:pStyle w:val="Heading2"/>
      </w:pPr>
      <w:r>
        <w:t xml:space="preserve">Equity line for</w:t>
      </w:r>
      <w:r>
        <w:t xml:space="preserve"> </w:t>
      </w:r>
      <w:r>
        <w:rPr>
          <w:b/>
          <w:bCs/>
        </w:rPr>
        <w:t xml:space="preserve">group 1</w:t>
      </w:r>
      <w:r>
        <w:t xml:space="preserve"> </w:t>
      </w:r>
      <w:r>
        <w:t xml:space="preserve">– 2025Q4</w:t>
      </w:r>
    </w:p>
    <w:p>
      <w:pPr>
        <w:pStyle w:val="FirstParagraph"/>
      </w:pPr>
      <w:r>
        <w:rPr>
          <w:b/>
          <w:bCs/>
        </w:rPr>
        <w:t xml:space="preserve">Comment:</w:t>
      </w:r>
      <w:r>
        <w:t xml:space="preserve"> </w:t>
      </w:r>
      <w:r>
        <w:t xml:space="preserve">2025Q4 was not included in the current Group 1 evaluation run/output set.</w:t>
      </w:r>
    </w:p>
    <w:bookmarkEnd w:id="81"/>
    <w:bookmarkEnd w:id="82"/>
    <w:bookmarkStart w:id="139" w:name="group-2"/>
    <w:p>
      <w:pPr>
        <w:pStyle w:val="Heading1"/>
      </w:pPr>
      <w:r>
        <w:t xml:space="preserve">Group 2</w:t>
      </w:r>
    </w:p>
    <w:bookmarkStart w:id="83" w:name="approaches-undertaken-1"/>
    <w:p>
      <w:pPr>
        <w:pStyle w:val="Heading2"/>
      </w:pPr>
      <w:r>
        <w:t xml:space="preserve">Approaches undertaken</w:t>
      </w:r>
    </w:p>
    <w:p>
      <w:pPr>
        <w:pStyle w:val="FirstParagraph"/>
      </w:pPr>
      <w:r>
        <w:t xml:space="preserve">For Group 2</w:t>
      </w:r>
      <w:r>
        <w:t xml:space="preserve"> </w:t>
      </w:r>
      <w:r>
        <w:rPr>
          <w:b/>
          <w:bCs/>
        </w:rPr>
        <w:t xml:space="preserve">(Gold - XAU, Silver - XAG)</w:t>
      </w:r>
      <w:r>
        <w:t xml:space="preserve">, we faced different challenges compared to Group 1: specific trading hours (Sunday-Friday), a daily break (17:00-18:00 CET), and significantly higher fixed transaction costs ($10/$15) relative to tick value. We tested two primary logic families on 5-minute data.</w:t>
      </w:r>
    </w:p>
    <w:bookmarkEnd w:id="83"/>
    <w:bookmarkStart w:id="84" w:name="strategies-considered"/>
    <w:p>
      <w:pPr>
        <w:pStyle w:val="Heading2"/>
      </w:pPr>
      <w:r>
        <w:t xml:space="preserve">Strategies considered</w:t>
      </w:r>
    </w:p>
    <w:p>
      <w:pPr>
        <w:pStyle w:val="FirstParagraph"/>
      </w:pPr>
      <w:r>
        <w:rPr>
          <w:b/>
          <w:bCs/>
        </w:rPr>
        <w:t xml:space="preserve">Strategy 1 - Volatility Breakout</w:t>
      </w:r>
    </w:p>
    <w:p>
      <w:pPr>
        <w:pStyle w:val="Compact"/>
        <w:numPr>
          <w:ilvl w:val="0"/>
          <w:numId w:val="1015"/>
        </w:numPr>
      </w:pPr>
      <w:r>
        <w:rPr>
          <w:b/>
          <w:bCs/>
        </w:rPr>
        <w:t xml:space="preserve">Signal:</w:t>
      </w:r>
      <w:r>
        <w:t xml:space="preserve"> </w:t>
      </w:r>
      <w:r>
        <w:t xml:space="preserve">We adapted the Donchian Channel logic for close-only data.</w:t>
      </w:r>
    </w:p>
    <w:p>
      <w:pPr>
        <w:pStyle w:val="Compact"/>
        <w:numPr>
          <w:ilvl w:val="0"/>
          <w:numId w:val="1015"/>
        </w:numPr>
      </w:pPr>
      <w:r>
        <w:rPr>
          <w:b/>
          <w:bCs/>
        </w:rPr>
        <w:t xml:space="preserve">Entry:</w:t>
      </w:r>
    </w:p>
    <w:p>
      <w:pPr>
        <w:pStyle w:val="Compact"/>
        <w:numPr>
          <w:ilvl w:val="1"/>
          <w:numId w:val="1016"/>
        </w:numPr>
      </w:pPr>
      <w:r>
        <w:t xml:space="preserve">Enter Long if</w:t>
      </w:r>
      <w:r>
        <w:t xml:space="preserve"> </w:t>
      </w:r>
      <m:oMath>
        <m:r>
          <m:t>C</m:t>
        </m:r>
        <m:r>
          <m:t>l</m:t>
        </m:r>
        <m:r>
          <m:t>o</m:t>
        </m:r>
        <m:r>
          <m:t>s</m:t>
        </m:r>
        <m:sSub>
          <m:e>
            <m:r>
              <m:t>e</m:t>
            </m:r>
          </m:e>
          <m:sub>
            <m:r>
              <m:t>t</m:t>
            </m:r>
          </m:sub>
        </m:sSub>
        <m:r>
          <m:rPr>
            <m:sty m:val="p"/>
          </m:rPr>
          <m:t>&gt;</m:t>
        </m:r>
        <m:r>
          <m:t>M</m:t>
        </m:r>
        <m:r>
          <m:t>a</m:t>
        </m:r>
        <m:r>
          <m:t>x</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1"/>
          <w:numId w:val="1016"/>
        </w:numPr>
      </w:pPr>
      <w:r>
        <w:t xml:space="preserve">Enter Short if</w:t>
      </w:r>
      <w:r>
        <w:t xml:space="preserve"> </w:t>
      </w:r>
      <m:oMath>
        <m:r>
          <m:t>C</m:t>
        </m:r>
        <m:r>
          <m:t>l</m:t>
        </m:r>
        <m:r>
          <m:t>o</m:t>
        </m:r>
        <m:r>
          <m:t>s</m:t>
        </m:r>
        <m:sSub>
          <m:e>
            <m:r>
              <m:t>e</m:t>
            </m:r>
          </m:e>
          <m:sub>
            <m:r>
              <m:t>t</m:t>
            </m:r>
          </m:sub>
        </m:sSub>
        <m:r>
          <m:rPr>
            <m:sty m:val="p"/>
          </m:rPr>
          <m:t>&lt;</m:t>
        </m:r>
        <m:r>
          <m:t>M</m:t>
        </m:r>
        <m:r>
          <m:t>i</m:t>
        </m:r>
        <m:r>
          <m:t>n</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0"/>
          <w:numId w:val="1015"/>
        </w:numPr>
      </w:pPr>
      <w:r>
        <w:rPr>
          <w:b/>
          <w:bCs/>
        </w:rPr>
        <w:t xml:space="preserve">Volatility Filter:</w:t>
      </w:r>
      <w:r>
        <w:t xml:space="preserve"> </w:t>
      </w:r>
      <w:r>
        <w:t xml:space="preserve">Trades are only taken if the rolling standard deviation of price changes exceeds a threshold (</w:t>
      </w:r>
      <w:r>
        <w:rPr>
          <w:rStyle w:val="VerbatimChar"/>
        </w:rPr>
        <w:t xml:space="preserve">vol_threshold</w:t>
      </w:r>
      <w:r>
        <w:t xml:space="preserve">). This prevents trading during</w:t>
      </w:r>
      <w:r>
        <w:t xml:space="preserve"> </w:t>
      </w:r>
      <w:r>
        <w:t xml:space="preserve">“dead”</w:t>
      </w:r>
      <w:r>
        <w:t xml:space="preserve"> </w:t>
      </w:r>
      <w:r>
        <w:t xml:space="preserve">markets where the fixed transaction cost would exceed potential profit.</w:t>
      </w:r>
    </w:p>
    <w:p>
      <w:pPr>
        <w:pStyle w:val="Compact"/>
        <w:numPr>
          <w:ilvl w:val="0"/>
          <w:numId w:val="1015"/>
        </w:numPr>
      </w:pPr>
      <w:r>
        <w:rPr>
          <w:b/>
          <w:bCs/>
        </w:rPr>
        <w:t xml:space="preserve">Regime Filter (Session):</w:t>
      </w:r>
      <w:r>
        <w:t xml:space="preserve"> </w:t>
      </w:r>
      <w:r>
        <w:t xml:space="preserve">We tested applying the strategy</w:t>
      </w:r>
      <w:r>
        <w:t xml:space="preserve"> </w:t>
      </w:r>
      <w:r>
        <w:rPr>
          <w:b/>
          <w:bCs/>
        </w:rPr>
        <w:t xml:space="preserve">24 hours</w:t>
      </w:r>
      <w:r>
        <w:t xml:space="preserve"> </w:t>
      </w:r>
      <w:r>
        <w:t xml:space="preserve">vs. </w:t>
      </w:r>
      <w:r>
        <w:rPr>
          <w:b/>
          <w:bCs/>
        </w:rPr>
        <w:t xml:space="preserve">US Session Only</w:t>
      </w:r>
      <w:r>
        <w:t xml:space="preserve"> </w:t>
      </w:r>
      <w:r>
        <w:t xml:space="preserve">(13:00–16:30 CET).</w:t>
      </w:r>
    </w:p>
    <w:p>
      <w:pPr>
        <w:pStyle w:val="FirstParagraph"/>
      </w:pPr>
      <w:r>
        <w:rPr>
          <w:b/>
          <w:bCs/>
        </w:rPr>
        <w:t xml:space="preserve">Strategy 2 - EMA Crossover + RSI</w:t>
      </w:r>
    </w:p>
    <w:p>
      <w:pPr>
        <w:pStyle w:val="Compact"/>
        <w:numPr>
          <w:ilvl w:val="0"/>
          <w:numId w:val="1017"/>
        </w:numPr>
      </w:pPr>
      <w:r>
        <w:rPr>
          <w:b/>
          <w:bCs/>
        </w:rPr>
        <w:t xml:space="preserve">Signal:</w:t>
      </w:r>
      <w:r>
        <w:t xml:space="preserve"> </w:t>
      </w:r>
      <w:r>
        <w:t xml:space="preserve">Standard Fast/Slow EMA crossover.</w:t>
      </w:r>
    </w:p>
    <w:p>
      <w:pPr>
        <w:pStyle w:val="Compact"/>
        <w:numPr>
          <w:ilvl w:val="0"/>
          <w:numId w:val="1017"/>
        </w:numPr>
      </w:pPr>
      <w:r>
        <w:rPr>
          <w:b/>
          <w:bCs/>
        </w:rPr>
        <w:t xml:space="preserve">Filter:</w:t>
      </w:r>
      <w:r>
        <w:t xml:space="preserve"> </w:t>
      </w:r>
      <w:r>
        <w:t xml:space="preserve">RSI (Relative Strength Index) was added to filter out overextended moves.</w:t>
      </w:r>
    </w:p>
    <w:p>
      <w:pPr>
        <w:pStyle w:val="Compact"/>
        <w:numPr>
          <w:ilvl w:val="1"/>
          <w:numId w:val="1018"/>
        </w:numPr>
      </w:pPr>
      <w:r>
        <w:rPr>
          <w:i/>
          <w:iCs/>
        </w:rPr>
        <w:t xml:space="preserve">Long Rule:</w:t>
      </w:r>
      <w:r>
        <w:t xml:space="preserve"> </w:t>
      </w:r>
      <w:r>
        <w:t xml:space="preserve">Fast &gt; Slow AND RSI &lt; 70 (Not Overbought).</w:t>
      </w:r>
    </w:p>
    <w:p>
      <w:pPr>
        <w:pStyle w:val="Compact"/>
        <w:numPr>
          <w:ilvl w:val="1"/>
          <w:numId w:val="1018"/>
        </w:numPr>
      </w:pPr>
      <w:r>
        <w:rPr>
          <w:i/>
          <w:iCs/>
        </w:rPr>
        <w:t xml:space="preserve">Short Rule:</w:t>
      </w:r>
      <w:r>
        <w:t xml:space="preserve"> </w:t>
      </w:r>
      <w:r>
        <w:t xml:space="preserve">Fast &lt; Slow AND RSI &gt; 30 (Not Oversold).</w:t>
      </w:r>
    </w:p>
    <w:p>
      <w:pPr>
        <w:pStyle w:val="Compact"/>
        <w:numPr>
          <w:ilvl w:val="0"/>
          <w:numId w:val="1017"/>
        </w:numPr>
      </w:pPr>
      <w:r>
        <w:rPr>
          <w:b/>
          <w:bCs/>
        </w:rPr>
        <w:t xml:space="preserve">Hypothesis:</w:t>
      </w:r>
      <w:r>
        <w:t xml:space="preserve"> </w:t>
      </w:r>
      <w:r>
        <w:t xml:space="preserve">We tested if smoothing the noisy 5-minute data with EMAs would reduce the</w:t>
      </w:r>
      <w:r>
        <w:t xml:space="preserve"> </w:t>
      </w:r>
      <w:r>
        <w:t xml:space="preserve">“whipsaw”</w:t>
      </w:r>
      <w:r>
        <w:t xml:space="preserve"> </w:t>
      </w:r>
      <w:r>
        <w:t xml:space="preserve">effect seen in precious metals.</w:t>
      </w:r>
    </w:p>
    <w:bookmarkEnd w:id="84"/>
    <w:bookmarkStart w:id="85" w:name="assumptions-execution-rules"/>
    <w:p>
      <w:pPr>
        <w:pStyle w:val="Heading2"/>
      </w:pPr>
      <w:r>
        <w:t xml:space="preserve">Assumptions / execution rules</w:t>
      </w:r>
    </w:p>
    <w:p>
      <w:pPr>
        <w:pStyle w:val="Compact"/>
        <w:numPr>
          <w:ilvl w:val="0"/>
          <w:numId w:val="1019"/>
        </w:numPr>
      </w:pPr>
      <w:r>
        <w:rPr>
          <w:b/>
          <w:bCs/>
        </w:rPr>
        <w:t xml:space="preserve">Timezone Management:</w:t>
      </w:r>
      <w:r>
        <w:t xml:space="preserve"> </w:t>
      </w:r>
      <w:r>
        <w:t xml:space="preserve">All data was converted from UTC to CET to strictly adhere to the project’s time-specific rules.</w:t>
      </w:r>
    </w:p>
    <w:p>
      <w:pPr>
        <w:pStyle w:val="Compact"/>
        <w:numPr>
          <w:ilvl w:val="0"/>
          <w:numId w:val="1019"/>
        </w:numPr>
      </w:pPr>
      <w:r>
        <w:rPr>
          <w:b/>
          <w:bCs/>
        </w:rPr>
        <w:t xml:space="preserve">Forced Exits:</w:t>
      </w:r>
      <w:r>
        <w:t xml:space="preserve"> </w:t>
      </w:r>
      <w:r>
        <w:t xml:space="preserve">All positions are flattened daily at 16:50 CET. No trading occurs during the break (17:00–18:00) or the first 10 minutes after re-open (18:00–18:10).</w:t>
      </w:r>
    </w:p>
    <w:p>
      <w:pPr>
        <w:pStyle w:val="Compact"/>
        <w:numPr>
          <w:ilvl w:val="0"/>
          <w:numId w:val="1019"/>
        </w:numPr>
      </w:pPr>
      <w:r>
        <w:rPr>
          <w:b/>
          <w:bCs/>
        </w:rPr>
        <w:t xml:space="preserve">Transaction Costs:</w:t>
      </w:r>
      <w:r>
        <w:t xml:space="preserve"> </w:t>
      </w:r>
      <w:r>
        <w:t xml:space="preserve">We applied $15 per trade for Gold and $10 per trade for Silver.</w:t>
      </w:r>
    </w:p>
    <w:bookmarkEnd w:id="85"/>
    <w:bookmarkStart w:id="86" w:name="parameter-search-selection"/>
    <w:p>
      <w:pPr>
        <w:pStyle w:val="Heading2"/>
      </w:pPr>
      <w:r>
        <w:t xml:space="preserve">Parameter search &amp; selection</w:t>
      </w:r>
    </w:p>
    <w:p>
      <w:pPr>
        <w:pStyle w:val="Compact"/>
        <w:numPr>
          <w:ilvl w:val="0"/>
          <w:numId w:val="1020"/>
        </w:numPr>
      </w:pPr>
      <w:r>
        <w:rPr>
          <w:b/>
          <w:bCs/>
        </w:rPr>
        <w:t xml:space="preserve">Global Optimization:</w:t>
      </w:r>
      <w:r>
        <w:t xml:space="preserve"> </w:t>
      </w:r>
      <w:r>
        <w:t xml:space="preserve">Unlike Group 1, we performed a cross-product grid search. We tested every combination of Gold parameters against every combination of Silver parameters to find the best portfolio score, rather than optimizing assets in isolation.</w:t>
      </w:r>
    </w:p>
    <w:p>
      <w:pPr>
        <w:pStyle w:val="Compact"/>
        <w:numPr>
          <w:ilvl w:val="0"/>
          <w:numId w:val="1020"/>
        </w:numPr>
      </w:pPr>
      <w:r>
        <w:rPr>
          <w:b/>
          <w:bCs/>
        </w:rPr>
        <w:t xml:space="preserve">Grid Space:</w:t>
      </w:r>
    </w:p>
    <w:p>
      <w:pPr>
        <w:pStyle w:val="Compact"/>
        <w:numPr>
          <w:ilvl w:val="1"/>
          <w:numId w:val="1021"/>
        </w:numPr>
      </w:pPr>
      <w:r>
        <w:rPr>
          <w:rStyle w:val="VerbatimChar"/>
        </w:rPr>
        <w:t xml:space="preserve">Window</w:t>
      </w:r>
      <w:r>
        <w:t xml:space="preserve"> </w:t>
      </w:r>
      <w:r>
        <w:t xml:space="preserve">(Lookback): [24, 48, …, 288 (24 hours)]</w:t>
      </w:r>
    </w:p>
    <w:p>
      <w:pPr>
        <w:pStyle w:val="Compact"/>
        <w:numPr>
          <w:ilvl w:val="1"/>
          <w:numId w:val="1021"/>
        </w:numPr>
      </w:pPr>
      <w:r>
        <w:rPr>
          <w:rStyle w:val="VerbatimChar"/>
        </w:rPr>
        <w:t xml:space="preserve">Vol_Threshold</w:t>
      </w:r>
      <w:r>
        <w:t xml:space="preserve">: [0.03, 0.05, …, 1.5]</w:t>
      </w:r>
    </w:p>
    <w:p>
      <w:pPr>
        <w:pStyle w:val="Compact"/>
        <w:numPr>
          <w:ilvl w:val="1"/>
          <w:numId w:val="1021"/>
        </w:numPr>
      </w:pPr>
      <w:r>
        <w:rPr>
          <w:rStyle w:val="VerbatimChar"/>
        </w:rPr>
        <w:t xml:space="preserve">Session</w:t>
      </w:r>
      <w:r>
        <w:t xml:space="preserve">: [</w:t>
      </w:r>
      <w:r>
        <w:t xml:space="preserve">‘Full’</w:t>
      </w:r>
      <w:r>
        <w:t xml:space="preserve">,</w:t>
      </w:r>
      <w:r>
        <w:t xml:space="preserve"> </w:t>
      </w:r>
      <w:r>
        <w:t xml:space="preserve">‘US_Only’</w:t>
      </w:r>
      <w:r>
        <w:t xml:space="preserve">]</w:t>
      </w:r>
    </w:p>
    <w:p>
      <w:pPr>
        <w:pStyle w:val="Compact"/>
        <w:numPr>
          <w:ilvl w:val="0"/>
          <w:numId w:val="1020"/>
        </w:numPr>
      </w:pPr>
      <w:r>
        <w:rPr>
          <w:b/>
          <w:bCs/>
        </w:rPr>
        <w:t xml:space="preserve">Selection Criterion:</w:t>
      </w:r>
      <w:r>
        <w:t xml:space="preserve"> </w:t>
      </w:r>
      <w:r>
        <w:t xml:space="preserve">Maximizing the sum of the project statistic across all in-sample quarters.</w:t>
      </w:r>
    </w:p>
    <w:bookmarkEnd w:id="86"/>
    <w:bookmarkStart w:id="87" w:name="finally-selected-strategy"/>
    <w:p>
      <w:pPr>
        <w:pStyle w:val="Heading2"/>
      </w:pPr>
      <w:r>
        <w:t xml:space="preserve">Finally selected strategy</w:t>
      </w:r>
    </w:p>
    <w:p>
      <w:pPr>
        <w:pStyle w:val="FirstParagraph"/>
      </w:pPr>
      <w:r>
        <w:rPr>
          <w:b/>
          <w:bCs/>
        </w:rPr>
        <w:t xml:space="preserve">Hybrid Volatility Breakout</w:t>
      </w:r>
    </w:p>
    <w:p>
      <w:pPr>
        <w:pStyle w:val="BodyText"/>
      </w:pPr>
      <w:r>
        <w:t xml:space="preserve">Based on the in-sample optimization, the Breakout logic significantly outperformed the EMA approach (which suffered from lag and high turnover costs). The final selected portfolio is</w:t>
      </w:r>
      <w:r>
        <w:t xml:space="preserve"> </w:t>
      </w:r>
      <w:r>
        <w:t xml:space="preserve">“Hybrid”</w:t>
      </w:r>
      <w:r>
        <w:t xml:space="preserve"> </w:t>
      </w:r>
      <w:r>
        <w:t xml:space="preserve">because it applies different time-regimes to each metal:</w:t>
      </w:r>
    </w:p>
    <w:p>
      <w:pPr>
        <w:pStyle w:val="Compact"/>
        <w:numPr>
          <w:ilvl w:val="0"/>
          <w:numId w:val="1022"/>
        </w:numPr>
      </w:pPr>
      <w:r>
        <w:rPr>
          <w:b/>
          <w:bCs/>
        </w:rPr>
        <w:t xml:space="preserve">Gold (XAU):</w:t>
      </w:r>
    </w:p>
    <w:p>
      <w:pPr>
        <w:pStyle w:val="Compact"/>
        <w:numPr>
          <w:ilvl w:val="1"/>
          <w:numId w:val="1023"/>
        </w:numPr>
      </w:pPr>
      <w:r>
        <w:rPr>
          <w:b/>
          <w:bCs/>
        </w:rPr>
        <w:t xml:space="preserve">Parameters:</w:t>
      </w:r>
      <w:r>
        <w:t xml:space="preserve"> </w:t>
      </w:r>
      <w:r>
        <w:rPr>
          <w:rStyle w:val="VerbatimChar"/>
        </w:rPr>
        <w:t xml:space="preserve">Window=288</w:t>
      </w:r>
      <w:r>
        <w:t xml:space="preserve"> </w:t>
      </w:r>
      <w:r>
        <w:t xml:space="preserve">(24 hours),</w:t>
      </w:r>
      <w:r>
        <w:t xml:space="preserve"> </w:t>
      </w:r>
      <w:r>
        <w:rPr>
          <w:rStyle w:val="VerbatimChar"/>
        </w:rPr>
        <w:t xml:space="preserve">Vol_Threshold=0.5</w:t>
      </w:r>
      <w:r>
        <w:t xml:space="preserve">,</w:t>
      </w:r>
      <w:r>
        <w:t xml:space="preserve"> </w:t>
      </w:r>
      <w:r>
        <w:rPr>
          <w:rStyle w:val="VerbatimChar"/>
        </w:rPr>
        <w:t xml:space="preserve">Session=Full</w:t>
      </w:r>
      <w:r>
        <w:t xml:space="preserve">.</w:t>
      </w:r>
    </w:p>
    <w:p>
      <w:pPr>
        <w:pStyle w:val="Compact"/>
        <w:numPr>
          <w:ilvl w:val="1"/>
          <w:numId w:val="1023"/>
        </w:numPr>
      </w:pPr>
      <w:r>
        <w:rPr>
          <w:i/>
          <w:iCs/>
        </w:rPr>
        <w:t xml:space="preserve">Logic:</w:t>
      </w:r>
      <w:r>
        <w:t xml:space="preserve"> </w:t>
      </w:r>
      <w:r>
        <w:t xml:space="preserve">Gold has deep global liquidity. A 24-hour lookback filters intraday noise, allowing the strategy to capture major macro trends overnight.</w:t>
      </w:r>
    </w:p>
    <w:p>
      <w:pPr>
        <w:pStyle w:val="Compact"/>
        <w:numPr>
          <w:ilvl w:val="0"/>
          <w:numId w:val="1022"/>
        </w:numPr>
      </w:pPr>
      <w:r>
        <w:rPr>
          <w:b/>
          <w:bCs/>
        </w:rPr>
        <w:t xml:space="preserve">Silver (XAG):</w:t>
      </w:r>
    </w:p>
    <w:p>
      <w:pPr>
        <w:pStyle w:val="Compact"/>
        <w:numPr>
          <w:ilvl w:val="1"/>
          <w:numId w:val="1024"/>
        </w:numPr>
      </w:pPr>
      <w:r>
        <w:rPr>
          <w:b/>
          <w:bCs/>
        </w:rPr>
        <w:t xml:space="preserve">Parameters:</w:t>
      </w:r>
      <w:r>
        <w:t xml:space="preserve"> </w:t>
      </w:r>
      <w:r>
        <w:rPr>
          <w:rStyle w:val="VerbatimChar"/>
        </w:rPr>
        <w:t xml:space="preserve">Window=144</w:t>
      </w:r>
      <w:r>
        <w:t xml:space="preserve"> </w:t>
      </w:r>
      <w:r>
        <w:t xml:space="preserve">(12 hours),</w:t>
      </w:r>
      <w:r>
        <w:t xml:space="preserve"> </w:t>
      </w:r>
      <w:r>
        <w:rPr>
          <w:rStyle w:val="VerbatimChar"/>
        </w:rPr>
        <w:t xml:space="preserve">Vol_Threshold=0.05</w:t>
      </w:r>
      <w:r>
        <w:t xml:space="preserve">,</w:t>
      </w:r>
      <w:r>
        <w:t xml:space="preserve"> </w:t>
      </w:r>
      <w:r>
        <w:rPr>
          <w:rStyle w:val="VerbatimChar"/>
        </w:rPr>
        <w:t xml:space="preserve">Session=US_Only</w:t>
      </w:r>
      <w:r>
        <w:t xml:space="preserve">.</w:t>
      </w:r>
    </w:p>
    <w:p>
      <w:pPr>
        <w:pStyle w:val="Compact"/>
        <w:numPr>
          <w:ilvl w:val="1"/>
          <w:numId w:val="1024"/>
        </w:numPr>
      </w:pPr>
      <w:r>
        <w:rPr>
          <w:i/>
          <w:iCs/>
        </w:rPr>
        <w:t xml:space="preserve">Logic:</w:t>
      </w:r>
      <w:r>
        <w:t xml:space="preserve"> </w:t>
      </w:r>
      <w:r>
        <w:t xml:space="preserve">Silver is noisier. By restricting new entries to the US Session (13:00–16:30 CET), we avoid false signals during low-volume European mornings.</w:t>
      </w:r>
    </w:p>
    <w:bookmarkEnd w:id="87"/>
    <w:bookmarkStart w:id="89" w:name="summary-of-results"/>
    <w:p>
      <w:pPr>
        <w:pStyle w:val="Heading2"/>
      </w:pPr>
      <w:r>
        <w:t xml:space="preserve">Summary of results</w:t>
      </w:r>
    </w:p>
    <w:bookmarkStart w:id="88" w:name="T_d800e"/>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quarter</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XAG</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0.00</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nan</w:t>
            </w:r>
          </w:p>
        </w:tc>
      </w:tr>
      <w:tr>
        <w:tc>
          <w:tcPr/>
          <w:p>
            <w:pPr>
              <w:pStyle w:val="Compact"/>
            </w:pPr>
            <w:r>
              <w:t xml:space="preserve">2023_Q1</w:t>
            </w:r>
          </w:p>
        </w:tc>
        <w:tc>
          <w:tcPr/>
          <w:p>
            <w:pPr>
              <w:pStyle w:val="Compact"/>
            </w:pPr>
            <w:r>
              <w:t xml:space="preserve">XAU</w:t>
            </w:r>
          </w:p>
        </w:tc>
        <w:tc>
          <w:tcPr/>
          <w:p>
            <w:pPr>
              <w:pStyle w:val="Compact"/>
            </w:pPr>
            <w:r>
              <w:t xml:space="preserve">0.09</w:t>
            </w:r>
          </w:p>
        </w:tc>
        <w:tc>
          <w:tcPr/>
          <w:p>
            <w:pPr>
              <w:pStyle w:val="Compact"/>
            </w:pPr>
            <w:r>
              <w:t xml:space="preserve">-0.19</w:t>
            </w:r>
          </w:p>
        </w:tc>
        <w:tc>
          <w:tcPr/>
          <w:p>
            <w:pPr>
              <w:pStyle w:val="Compact"/>
            </w:pPr>
            <w:r>
              <w:t xml:space="preserve">659.80</w:t>
            </w:r>
          </w:p>
        </w:tc>
        <w:tc>
          <w:tcPr/>
          <w:p>
            <w:pPr>
              <w:pStyle w:val="Compact"/>
            </w:pPr>
            <w:r>
              <w:t xml:space="preserve">-1470.20</w:t>
            </w:r>
          </w:p>
        </w:tc>
        <w:tc>
          <w:tcPr/>
          <w:p>
            <w:pPr>
              <w:pStyle w:val="Compact"/>
            </w:pPr>
            <w:r>
              <w:t xml:space="preserve">0.16</w:t>
            </w:r>
          </w:p>
        </w:tc>
        <w:tc>
          <w:tcPr/>
          <w:p>
            <w:pPr>
              <w:pStyle w:val="Compact"/>
            </w:pPr>
            <w:r>
              <w:t xml:space="preserve">-0.32</w:t>
            </w:r>
          </w:p>
        </w:tc>
        <w:tc>
          <w:tcPr/>
          <w:p>
            <w:pPr>
              <w:pStyle w:val="Compact"/>
            </w:pPr>
            <w:r>
              <w:t xml:space="preserve">1.60</w:t>
            </w:r>
          </w:p>
        </w:tc>
        <w:tc>
          <w:tcPr/>
          <w:p>
            <w:pPr>
              <w:pStyle w:val="Compact"/>
            </w:pPr>
            <w:r>
              <w:t xml:space="preserve">-0.27</w:t>
            </w:r>
          </w:p>
        </w:tc>
      </w:tr>
      <w:tr>
        <w:tc>
          <w:tcPr/>
          <w:p>
            <w:pPr>
              <w:pStyle w:val="Compact"/>
            </w:pPr>
            <w:r>
              <w:t xml:space="preserve">2023_Q2</w:t>
            </w:r>
          </w:p>
        </w:tc>
        <w:tc>
          <w:tcPr/>
          <w:p>
            <w:pPr>
              <w:pStyle w:val="Compact"/>
            </w:pPr>
            <w:r>
              <w:t xml:space="preserve">XAG</w:t>
            </w:r>
          </w:p>
        </w:tc>
        <w:tc>
          <w:tcPr/>
          <w:p>
            <w:pPr>
              <w:pStyle w:val="Compact"/>
            </w:pPr>
            <w:r>
              <w:t xml:space="preserve">-0.20</w:t>
            </w:r>
          </w:p>
        </w:tc>
        <w:tc>
          <w:tcPr/>
          <w:p>
            <w:pPr>
              <w:pStyle w:val="Compact"/>
            </w:pPr>
            <w:r>
              <w:t xml:space="preserve">-0.30</w:t>
            </w:r>
          </w:p>
        </w:tc>
        <w:tc>
          <w:tcPr/>
          <w:p>
            <w:pPr>
              <w:pStyle w:val="Compact"/>
            </w:pPr>
            <w:r>
              <w:t xml:space="preserve">-80.00</w:t>
            </w:r>
          </w:p>
        </w:tc>
        <w:tc>
          <w:tcPr/>
          <w:p>
            <w:pPr>
              <w:pStyle w:val="Compact"/>
            </w:pPr>
            <w:r>
              <w:t xml:space="preserve">-120.00</w:t>
            </w:r>
          </w:p>
        </w:tc>
        <w:tc>
          <w:tcPr/>
          <w:p>
            <w:pPr>
              <w:pStyle w:val="Compact"/>
            </w:pPr>
            <w:r>
              <w:t xml:space="preserve">-0.65</w:t>
            </w:r>
          </w:p>
        </w:tc>
        <w:tc>
          <w:tcPr/>
          <w:p>
            <w:pPr>
              <w:pStyle w:val="Compact"/>
            </w:pPr>
            <w:r>
              <w:t xml:space="preserve">-0.94</w:t>
            </w:r>
          </w:p>
        </w:tc>
        <w:tc>
          <w:tcPr/>
          <w:p>
            <w:pPr>
              <w:pStyle w:val="Compact"/>
            </w:pPr>
            <w:r>
              <w:t xml:space="preserve">0.04</w:t>
            </w:r>
          </w:p>
        </w:tc>
        <w:tc>
          <w:tcPr/>
          <w:p>
            <w:pPr>
              <w:pStyle w:val="Compact"/>
            </w:pPr>
            <w:r>
              <w:t xml:space="preserve">-0.00</w:t>
            </w:r>
          </w:p>
        </w:tc>
      </w:tr>
      <w:tr>
        <w:tc>
          <w:tcPr/>
          <w:p>
            <w:pPr>
              <w:pStyle w:val="Compact"/>
            </w:pPr>
            <w:r>
              <w:t xml:space="preserve">2023_Q2</w:t>
            </w:r>
          </w:p>
        </w:tc>
        <w:tc>
          <w:tcPr/>
          <w:p>
            <w:pPr>
              <w:pStyle w:val="Compact"/>
            </w:pPr>
            <w:r>
              <w:t xml:space="preserve">XAU</w:t>
            </w:r>
          </w:p>
        </w:tc>
        <w:tc>
          <w:tcPr/>
          <w:p>
            <w:pPr>
              <w:pStyle w:val="Compact"/>
            </w:pPr>
            <w:r>
              <w:t xml:space="preserve">-1.80</w:t>
            </w:r>
          </w:p>
        </w:tc>
        <w:tc>
          <w:tcPr/>
          <w:p>
            <w:pPr>
              <w:pStyle w:val="Compact"/>
            </w:pPr>
            <w:r>
              <w:t xml:space="preserve">-2.17</w:t>
            </w:r>
          </w:p>
        </w:tc>
        <w:tc>
          <w:tcPr/>
          <w:p>
            <w:pPr>
              <w:pStyle w:val="Compact"/>
            </w:pPr>
            <w:r>
              <w:t xml:space="preserve">-9694.90</w:t>
            </w:r>
          </w:p>
        </w:tc>
        <w:tc>
          <w:tcPr/>
          <w:p>
            <w:pPr>
              <w:pStyle w:val="Compact"/>
            </w:pPr>
            <w:r>
              <w:t xml:space="preserve">-11749.90</w:t>
            </w:r>
          </w:p>
        </w:tc>
        <w:tc>
          <w:tcPr/>
          <w:p>
            <w:pPr>
              <w:pStyle w:val="Compact"/>
            </w:pPr>
            <w:r>
              <w:t xml:space="preserve">-2.88</w:t>
            </w:r>
          </w:p>
        </w:tc>
        <w:tc>
          <w:tcPr/>
          <w:p>
            <w:pPr>
              <w:pStyle w:val="Compact"/>
            </w:pPr>
            <w:r>
              <w:t xml:space="preserve">-3.09</w:t>
            </w:r>
          </w:p>
        </w:tc>
        <w:tc>
          <w:tcPr/>
          <w:p>
            <w:pPr>
              <w:pStyle w:val="Compact"/>
            </w:pPr>
            <w:r>
              <w:t xml:space="preserve">1.54</w:t>
            </w:r>
          </w:p>
        </w:tc>
        <w:tc>
          <w:tcPr/>
          <w:p>
            <w:pPr>
              <w:pStyle w:val="Compact"/>
            </w:pPr>
            <w:r>
              <w:t xml:space="preserve">-6.58</w:t>
            </w:r>
          </w:p>
        </w:tc>
      </w:tr>
      <w:tr>
        <w:tc>
          <w:tcPr/>
          <w:p>
            <w:pPr>
              <w:pStyle w:val="Compact"/>
            </w:pPr>
            <w:r>
              <w:t xml:space="preserve">2023_Q3</w:t>
            </w:r>
          </w:p>
        </w:tc>
        <w:tc>
          <w:tcPr/>
          <w:p>
            <w:pPr>
              <w:pStyle w:val="Compact"/>
            </w:pPr>
            <w:r>
              <w:t xml:space="preserve">XAG</w:t>
            </w:r>
          </w:p>
        </w:tc>
        <w:tc>
          <w:tcPr/>
          <w:p>
            <w:pPr>
              <w:pStyle w:val="Compact"/>
            </w:pPr>
            <w:r>
              <w:t xml:space="preserve">1.69</w:t>
            </w:r>
          </w:p>
        </w:tc>
        <w:tc>
          <w:tcPr/>
          <w:p>
            <w:pPr>
              <w:pStyle w:val="Compact"/>
            </w:pPr>
            <w:r>
              <w:t xml:space="preserve">1.69</w:t>
            </w:r>
          </w:p>
        </w:tc>
        <w:tc>
          <w:tcPr/>
          <w:p>
            <w:pPr>
              <w:pStyle w:val="Compact"/>
            </w:pPr>
            <w:r>
              <w:t xml:space="preserve">2225.00</w:t>
            </w:r>
          </w:p>
        </w:tc>
        <w:tc>
          <w:tcPr/>
          <w:p>
            <w:pPr>
              <w:pStyle w:val="Compact"/>
            </w:pPr>
            <w:r>
              <w:t xml:space="preserve">2205.00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0.94</w:t>
            </w:r>
          </w:p>
        </w:tc>
      </w:tr>
      <w:tr>
        <w:tc>
          <w:tcPr/>
          <w:p>
            <w:pPr>
              <w:pStyle w:val="Compact"/>
            </w:pPr>
            <w:r>
              <w:t xml:space="preserve">2023_Q3</w:t>
            </w:r>
          </w:p>
        </w:tc>
        <w:tc>
          <w:tcPr/>
          <w:p>
            <w:pPr>
              <w:pStyle w:val="Compact"/>
            </w:pPr>
            <w:r>
              <w:t xml:space="preserve">XAU</w:t>
            </w:r>
          </w:p>
        </w:tc>
        <w:tc>
          <w:tcPr/>
          <w:p>
            <w:pPr>
              <w:pStyle w:val="Compact"/>
            </w:pPr>
            <w:r>
              <w:t xml:space="preserve">1.61</w:t>
            </w:r>
          </w:p>
        </w:tc>
        <w:tc>
          <w:tcPr/>
          <w:p>
            <w:pPr>
              <w:pStyle w:val="Compact"/>
            </w:pPr>
            <w:r>
              <w:t xml:space="preserve">1.08</w:t>
            </w:r>
          </w:p>
        </w:tc>
        <w:tc>
          <w:tcPr/>
          <w:p>
            <w:pPr>
              <w:pStyle w:val="Compact"/>
            </w:pPr>
            <w:r>
              <w:t xml:space="preserve">4973.60</w:t>
            </w:r>
          </w:p>
        </w:tc>
        <w:tc>
          <w:tcPr/>
          <w:p>
            <w:pPr>
              <w:pStyle w:val="Compact"/>
            </w:pPr>
            <w:r>
              <w:t xml:space="preserve">3353.60</w:t>
            </w:r>
          </w:p>
        </w:tc>
        <w:tc>
          <w:tcPr/>
          <w:p>
            <w:pPr>
              <w:pStyle w:val="Compact"/>
            </w:pPr>
            <w:r>
              <w:t xml:space="preserve">4.82</w:t>
            </w:r>
          </w:p>
        </w:tc>
        <w:tc>
          <w:tcPr/>
          <w:p>
            <w:pPr>
              <w:pStyle w:val="Compact"/>
            </w:pPr>
            <w:r>
              <w:t xml:space="preserve">2.94</w:t>
            </w:r>
          </w:p>
        </w:tc>
        <w:tc>
          <w:tcPr/>
          <w:p>
            <w:pPr>
              <w:pStyle w:val="Compact"/>
            </w:pPr>
            <w:r>
              <w:t xml:space="preserve">1.21</w:t>
            </w:r>
          </w:p>
        </w:tc>
        <w:tc>
          <w:tcPr/>
          <w:p>
            <w:pPr>
              <w:pStyle w:val="Compact"/>
            </w:pPr>
            <w:r>
              <w:t xml:space="preserve">0.70</w:t>
            </w:r>
          </w:p>
        </w:tc>
      </w:tr>
      <w:tr>
        <w:tc>
          <w:tcPr/>
          <w:p>
            <w:pPr>
              <w:pStyle w:val="Compact"/>
            </w:pPr>
            <w:r>
              <w:t xml:space="preserve">2023_Q4</w:t>
            </w:r>
          </w:p>
        </w:tc>
        <w:tc>
          <w:tcPr/>
          <w:p>
            <w:pPr>
              <w:pStyle w:val="Compact"/>
            </w:pPr>
            <w:r>
              <w:t xml:space="preserve">XAG</w:t>
            </w:r>
          </w:p>
        </w:tc>
        <w:tc>
          <w:tcPr/>
          <w:p>
            <w:pPr>
              <w:pStyle w:val="Compact"/>
            </w:pPr>
            <w:r>
              <w:t xml:space="preserve">2.40</w:t>
            </w:r>
          </w:p>
        </w:tc>
        <w:tc>
          <w:tcPr/>
          <w:p>
            <w:pPr>
              <w:pStyle w:val="Compact"/>
            </w:pPr>
            <w:r>
              <w:t xml:space="preserve">2.39</w:t>
            </w:r>
          </w:p>
        </w:tc>
        <w:tc>
          <w:tcPr/>
          <w:p>
            <w:pPr>
              <w:pStyle w:val="Compact"/>
            </w:pPr>
            <w:r>
              <w:t xml:space="preserve">1405.00</w:t>
            </w:r>
          </w:p>
        </w:tc>
        <w:tc>
          <w:tcPr/>
          <w:p>
            <w:pPr>
              <w:pStyle w:val="Compact"/>
            </w:pPr>
            <w:r>
              <w:t xml:space="preserve">1365.00</w:t>
            </w:r>
          </w:p>
        </w:tc>
        <w:tc>
          <w:tcPr/>
          <w:p>
            <w:pPr>
              <w:pStyle w:val="Compact"/>
            </w:pPr>
            <w:r>
              <w:t xml:space="preserve">nan</w:t>
            </w:r>
          </w:p>
        </w:tc>
        <w:tc>
          <w:tcPr/>
          <w:p>
            <w:pPr>
              <w:pStyle w:val="Compact"/>
            </w:pPr>
            <w:r>
              <w:t xml:space="preserve">nan</w:t>
            </w:r>
          </w:p>
        </w:tc>
        <w:tc>
          <w:tcPr/>
          <w:p>
            <w:pPr>
              <w:pStyle w:val="Compact"/>
            </w:pPr>
            <w:r>
              <w:t xml:space="preserve">0.04</w:t>
            </w:r>
          </w:p>
        </w:tc>
        <w:tc>
          <w:tcPr/>
          <w:p>
            <w:pPr>
              <w:pStyle w:val="Compact"/>
            </w:pPr>
            <w:r>
              <w:t xml:space="preserve">0.59</w:t>
            </w:r>
          </w:p>
        </w:tc>
      </w:tr>
      <w:tr>
        <w:tc>
          <w:tcPr/>
          <w:p>
            <w:pPr>
              <w:pStyle w:val="Compact"/>
            </w:pPr>
            <w:r>
              <w:t xml:space="preserve">2023_Q4</w:t>
            </w:r>
          </w:p>
        </w:tc>
        <w:tc>
          <w:tcPr/>
          <w:p>
            <w:pPr>
              <w:pStyle w:val="Compact"/>
            </w:pPr>
            <w:r>
              <w:t xml:space="preserve">XAU</w:t>
            </w:r>
          </w:p>
        </w:tc>
        <w:tc>
          <w:tcPr/>
          <w:p>
            <w:pPr>
              <w:pStyle w:val="Compact"/>
            </w:pPr>
            <w:r>
              <w:t xml:space="preserve">2.07</w:t>
            </w:r>
          </w:p>
        </w:tc>
        <w:tc>
          <w:tcPr/>
          <w:p>
            <w:pPr>
              <w:pStyle w:val="Compact"/>
            </w:pPr>
            <w:r>
              <w:t xml:space="preserve">1.72</w:t>
            </w:r>
          </w:p>
        </w:tc>
        <w:tc>
          <w:tcPr/>
          <w:p>
            <w:pPr>
              <w:pStyle w:val="Compact"/>
            </w:pPr>
            <w:r>
              <w:t xml:space="preserve">11856.90</w:t>
            </w:r>
          </w:p>
        </w:tc>
        <w:tc>
          <w:tcPr/>
          <w:p>
            <w:pPr>
              <w:pStyle w:val="Compact"/>
            </w:pPr>
            <w:r>
              <w:t xml:space="preserve">9876.90</w:t>
            </w:r>
          </w:p>
        </w:tc>
        <w:tc>
          <w:tcPr/>
          <w:p>
            <w:pPr>
              <w:pStyle w:val="Compact"/>
            </w:pPr>
            <w:r>
              <w:t xml:space="preserve">7.59</w:t>
            </w:r>
          </w:p>
        </w:tc>
        <w:tc>
          <w:tcPr/>
          <w:p>
            <w:pPr>
              <w:pStyle w:val="Compact"/>
            </w:pPr>
            <w:r>
              <w:t xml:space="preserve">6.19</w:t>
            </w:r>
          </w:p>
        </w:tc>
        <w:tc>
          <w:tcPr/>
          <w:p>
            <w:pPr>
              <w:pStyle w:val="Compact"/>
            </w:pPr>
            <w:r>
              <w:t xml:space="preserve">1.48</w:t>
            </w:r>
          </w:p>
        </w:tc>
        <w:tc>
          <w:tcPr/>
          <w:p>
            <w:pPr>
              <w:pStyle w:val="Compact"/>
            </w:pPr>
            <w:r>
              <w:t xml:space="preserve">2.79</w:t>
            </w:r>
          </w:p>
        </w:tc>
      </w:tr>
      <w:tr>
        <w:tc>
          <w:tcPr/>
          <w:p>
            <w:pPr>
              <w:pStyle w:val="Compact"/>
            </w:pPr>
            <w:r>
              <w:t xml:space="preserve">2024_Q1</w:t>
            </w:r>
          </w:p>
        </w:tc>
        <w:tc>
          <w:tcPr/>
          <w:p>
            <w:pPr>
              <w:pStyle w:val="Compact"/>
            </w:pPr>
            <w:r>
              <w:t xml:space="preserve">XAG</w:t>
            </w:r>
          </w:p>
        </w:tc>
        <w:tc>
          <w:tcPr/>
          <w:p>
            <w:pPr>
              <w:pStyle w:val="Compact"/>
            </w:pPr>
            <w:r>
              <w:t xml:space="preserve">1.67</w:t>
            </w:r>
          </w:p>
        </w:tc>
        <w:tc>
          <w:tcPr/>
          <w:p>
            <w:pPr>
              <w:pStyle w:val="Compact"/>
            </w:pPr>
            <w:r>
              <w:t xml:space="preserve">1.67</w:t>
            </w:r>
          </w:p>
        </w:tc>
        <w:tc>
          <w:tcPr/>
          <w:p>
            <w:pPr>
              <w:pStyle w:val="Compact"/>
            </w:pPr>
            <w:r>
              <w:t xml:space="preserve">655.00</w:t>
            </w:r>
          </w:p>
        </w:tc>
        <w:tc>
          <w:tcPr/>
          <w:p>
            <w:pPr>
              <w:pStyle w:val="Compact"/>
            </w:pPr>
            <w:r>
              <w:t xml:space="preserve">635.00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0.00</w:t>
            </w:r>
          </w:p>
        </w:tc>
      </w:tr>
      <w:tr>
        <w:tc>
          <w:tcPr/>
          <w:p>
            <w:pPr>
              <w:pStyle w:val="Compact"/>
            </w:pPr>
            <w:r>
              <w:t xml:space="preserve">2024_Q1</w:t>
            </w:r>
          </w:p>
        </w:tc>
        <w:tc>
          <w:tcPr/>
          <w:p>
            <w:pPr>
              <w:pStyle w:val="Compact"/>
            </w:pPr>
            <w:r>
              <w:t xml:space="preserve">XAU</w:t>
            </w:r>
          </w:p>
        </w:tc>
        <w:tc>
          <w:tcPr/>
          <w:p>
            <w:pPr>
              <w:pStyle w:val="Compact"/>
            </w:pPr>
            <w:r>
              <w:t xml:space="preserve">-0.50</w:t>
            </w:r>
          </w:p>
        </w:tc>
        <w:tc>
          <w:tcPr/>
          <w:p>
            <w:pPr>
              <w:pStyle w:val="Compact"/>
            </w:pPr>
            <w:r>
              <w:t xml:space="preserve">-0.82</w:t>
            </w:r>
          </w:p>
        </w:tc>
        <w:tc>
          <w:tcPr/>
          <w:p>
            <w:pPr>
              <w:pStyle w:val="Compact"/>
            </w:pPr>
            <w:r>
              <w:t xml:space="preserve">-3229.20</w:t>
            </w:r>
          </w:p>
        </w:tc>
        <w:tc>
          <w:tcPr/>
          <w:p>
            <w:pPr>
              <w:pStyle w:val="Compact"/>
            </w:pPr>
            <w:r>
              <w:t xml:space="preserve">-5269.20</w:t>
            </w:r>
          </w:p>
        </w:tc>
        <w:tc>
          <w:tcPr/>
          <w:p>
            <w:pPr>
              <w:pStyle w:val="Compact"/>
            </w:pPr>
            <w:r>
              <w:t xml:space="preserve">-1.27</w:t>
            </w:r>
          </w:p>
        </w:tc>
        <w:tc>
          <w:tcPr/>
          <w:p>
            <w:pPr>
              <w:pStyle w:val="Compact"/>
            </w:pPr>
            <w:r>
              <w:t xml:space="preserve">-1.85</w:t>
            </w:r>
          </w:p>
        </w:tc>
        <w:tc>
          <w:tcPr/>
          <w:p>
            <w:pPr>
              <w:pStyle w:val="Compact"/>
            </w:pPr>
            <w:r>
              <w:t xml:space="preserve">1.49</w:t>
            </w:r>
          </w:p>
        </w:tc>
        <w:tc>
          <w:tcPr/>
          <w:p>
            <w:pPr>
              <w:pStyle w:val="Compact"/>
            </w:pPr>
            <w:r>
              <w:t xml:space="preserve">-2.19</w:t>
            </w:r>
          </w:p>
        </w:tc>
      </w:tr>
      <w:tr>
        <w:tc>
          <w:tcPr/>
          <w:p>
            <w:pPr>
              <w:pStyle w:val="Compact"/>
            </w:pPr>
            <w:r>
              <w:t xml:space="preserve">2024_Q2</w:t>
            </w:r>
          </w:p>
        </w:tc>
        <w:tc>
          <w:tcPr/>
          <w:p>
            <w:pPr>
              <w:pStyle w:val="Compact"/>
            </w:pPr>
            <w:r>
              <w:t xml:space="preserve">XAG</w:t>
            </w:r>
          </w:p>
        </w:tc>
        <w:tc>
          <w:tcPr/>
          <w:p>
            <w:pPr>
              <w:pStyle w:val="Compact"/>
            </w:pPr>
            <w:r>
              <w:t xml:space="preserve">1.98</w:t>
            </w:r>
          </w:p>
        </w:tc>
        <w:tc>
          <w:tcPr/>
          <w:p>
            <w:pPr>
              <w:pStyle w:val="Compact"/>
            </w:pPr>
            <w:r>
              <w:t xml:space="preserve">1.90</w:t>
            </w:r>
          </w:p>
        </w:tc>
        <w:tc>
          <w:tcPr/>
          <w:p>
            <w:pPr>
              <w:pStyle w:val="Compact"/>
            </w:pPr>
            <w:r>
              <w:t xml:space="preserve">6355.00</w:t>
            </w:r>
          </w:p>
        </w:tc>
        <w:tc>
          <w:tcPr/>
          <w:p>
            <w:pPr>
              <w:pStyle w:val="Compact"/>
            </w:pPr>
            <w:r>
              <w:t xml:space="preserve">6095.00</w:t>
            </w:r>
          </w:p>
        </w:tc>
        <w:tc>
          <w:tcPr/>
          <w:p>
            <w:pPr>
              <w:pStyle w:val="Compact"/>
            </w:pPr>
            <w:r>
              <w:t xml:space="preserve">5.49</w:t>
            </w:r>
          </w:p>
        </w:tc>
        <w:tc>
          <w:tcPr/>
          <w:p>
            <w:pPr>
              <w:pStyle w:val="Compact"/>
            </w:pPr>
            <w:r>
              <w:t xml:space="preserve">5.18</w:t>
            </w:r>
          </w:p>
        </w:tc>
        <w:tc>
          <w:tcPr/>
          <w:p>
            <w:pPr>
              <w:pStyle w:val="Compact"/>
            </w:pPr>
            <w:r>
              <w:t xml:space="preserve">0.29</w:t>
            </w:r>
          </w:p>
        </w:tc>
        <w:tc>
          <w:tcPr/>
          <w:p>
            <w:pPr>
              <w:pStyle w:val="Compact"/>
            </w:pPr>
            <w:r>
              <w:t xml:space="preserve">2.53</w:t>
            </w:r>
          </w:p>
        </w:tc>
      </w:tr>
      <w:tr>
        <w:tc>
          <w:tcPr/>
          <w:p>
            <w:pPr>
              <w:pStyle w:val="Compact"/>
            </w:pPr>
            <w:r>
              <w:t xml:space="preserve">2024_Q2</w:t>
            </w:r>
          </w:p>
        </w:tc>
        <w:tc>
          <w:tcPr/>
          <w:p>
            <w:pPr>
              <w:pStyle w:val="Compact"/>
            </w:pPr>
            <w:r>
              <w:t xml:space="preserve">XAU</w:t>
            </w:r>
          </w:p>
        </w:tc>
        <w:tc>
          <w:tcPr/>
          <w:p>
            <w:pPr>
              <w:pStyle w:val="Compact"/>
            </w:pPr>
            <w:r>
              <w:t xml:space="preserve">-0.29</w:t>
            </w:r>
          </w:p>
        </w:tc>
        <w:tc>
          <w:tcPr/>
          <w:p>
            <w:pPr>
              <w:pStyle w:val="Compact"/>
            </w:pPr>
            <w:r>
              <w:t xml:space="preserve">-0.54</w:t>
            </w:r>
          </w:p>
        </w:tc>
        <w:tc>
          <w:tcPr/>
          <w:p>
            <w:pPr>
              <w:pStyle w:val="Compact"/>
            </w:pPr>
            <w:r>
              <w:t xml:space="preserve">-2758.00</w:t>
            </w:r>
          </w:p>
        </w:tc>
        <w:tc>
          <w:tcPr/>
          <w:p>
            <w:pPr>
              <w:pStyle w:val="Compact"/>
            </w:pPr>
            <w:r>
              <w:t xml:space="preserve">-5158.00</w:t>
            </w:r>
          </w:p>
        </w:tc>
        <w:tc>
          <w:tcPr/>
          <w:p>
            <w:pPr>
              <w:pStyle w:val="Compact"/>
            </w:pPr>
            <w:r>
              <w:t xml:space="preserve">-0.54</w:t>
            </w:r>
          </w:p>
        </w:tc>
        <w:tc>
          <w:tcPr/>
          <w:p>
            <w:pPr>
              <w:pStyle w:val="Compact"/>
            </w:pPr>
            <w:r>
              <w:t xml:space="preserve">-0.98</w:t>
            </w:r>
          </w:p>
        </w:tc>
        <w:tc>
          <w:tcPr/>
          <w:p>
            <w:pPr>
              <w:pStyle w:val="Compact"/>
            </w:pPr>
            <w:r>
              <w:t xml:space="preserve">1.76</w:t>
            </w:r>
          </w:p>
        </w:tc>
        <w:tc>
          <w:tcPr/>
          <w:p>
            <w:pPr>
              <w:pStyle w:val="Compact"/>
            </w:pPr>
            <w:r>
              <w:t xml:space="preserve">-1.71</w:t>
            </w:r>
          </w:p>
        </w:tc>
      </w:tr>
      <w:tr>
        <w:tc>
          <w:tcPr/>
          <w:p>
            <w:pPr>
              <w:pStyle w:val="Compact"/>
            </w:pPr>
            <w:r>
              <w:t xml:space="preserve">2024_Q3</w:t>
            </w:r>
          </w:p>
        </w:tc>
        <w:tc>
          <w:tcPr/>
          <w:p>
            <w:pPr>
              <w:pStyle w:val="Compact"/>
            </w:pPr>
            <w:r>
              <w:t xml:space="preserve">XAG</w:t>
            </w:r>
          </w:p>
        </w:tc>
        <w:tc>
          <w:tcPr/>
          <w:p>
            <w:pPr>
              <w:pStyle w:val="Compact"/>
            </w:pPr>
            <w:r>
              <w:t xml:space="preserve">1.30</w:t>
            </w:r>
          </w:p>
        </w:tc>
        <w:tc>
          <w:tcPr/>
          <w:p>
            <w:pPr>
              <w:pStyle w:val="Compact"/>
            </w:pPr>
            <w:r>
              <w:t xml:space="preserve">1.23</w:t>
            </w:r>
          </w:p>
        </w:tc>
        <w:tc>
          <w:tcPr/>
          <w:p>
            <w:pPr>
              <w:pStyle w:val="Compact"/>
            </w:pPr>
            <w:r>
              <w:t xml:space="preserve">4065.00</w:t>
            </w:r>
          </w:p>
        </w:tc>
        <w:tc>
          <w:tcPr/>
          <w:p>
            <w:pPr>
              <w:pStyle w:val="Compact"/>
            </w:pPr>
            <w:r>
              <w:t xml:space="preserve">3825.00</w:t>
            </w:r>
          </w:p>
        </w:tc>
        <w:tc>
          <w:tcPr/>
          <w:p>
            <w:pPr>
              <w:pStyle w:val="Compact"/>
            </w:pPr>
            <w:r>
              <w:t xml:space="preserve">6.55</w:t>
            </w:r>
          </w:p>
        </w:tc>
        <w:tc>
          <w:tcPr/>
          <w:p>
            <w:pPr>
              <w:pStyle w:val="Compact"/>
            </w:pPr>
            <w:r>
              <w:t xml:space="preserve">6.07</w:t>
            </w:r>
          </w:p>
        </w:tc>
        <w:tc>
          <w:tcPr/>
          <w:p>
            <w:pPr>
              <w:pStyle w:val="Compact"/>
            </w:pPr>
            <w:r>
              <w:t xml:space="preserve">0.26</w:t>
            </w:r>
          </w:p>
        </w:tc>
        <w:tc>
          <w:tcPr/>
          <w:p>
            <w:pPr>
              <w:pStyle w:val="Compact"/>
            </w:pPr>
            <w:r>
              <w:t xml:space="preserve">0.97</w:t>
            </w:r>
          </w:p>
        </w:tc>
      </w:tr>
      <w:tr>
        <w:tc>
          <w:tcPr/>
          <w:p>
            <w:pPr>
              <w:pStyle w:val="Compact"/>
            </w:pPr>
            <w:r>
              <w:t xml:space="preserve">2024_Q3</w:t>
            </w:r>
          </w:p>
        </w:tc>
        <w:tc>
          <w:tcPr/>
          <w:p>
            <w:pPr>
              <w:pStyle w:val="Compact"/>
            </w:pPr>
            <w:r>
              <w:t xml:space="preserve">XAU</w:t>
            </w:r>
          </w:p>
        </w:tc>
        <w:tc>
          <w:tcPr/>
          <w:p>
            <w:pPr>
              <w:pStyle w:val="Compact"/>
            </w:pPr>
            <w:r>
              <w:t xml:space="preserve">2.86</w:t>
            </w:r>
          </w:p>
        </w:tc>
        <w:tc>
          <w:tcPr/>
          <w:p>
            <w:pPr>
              <w:pStyle w:val="Compact"/>
            </w:pPr>
            <w:r>
              <w:t xml:space="preserve">2.59</w:t>
            </w:r>
          </w:p>
        </w:tc>
        <w:tc>
          <w:tcPr/>
          <w:p>
            <w:pPr>
              <w:pStyle w:val="Compact"/>
            </w:pPr>
            <w:r>
              <w:t xml:space="preserve">22526.80</w:t>
            </w:r>
          </w:p>
        </w:tc>
        <w:tc>
          <w:tcPr/>
          <w:p>
            <w:pPr>
              <w:pStyle w:val="Compact"/>
            </w:pPr>
            <w:r>
              <w:t xml:space="preserve">20366.80</w:t>
            </w:r>
          </w:p>
        </w:tc>
        <w:tc>
          <w:tcPr/>
          <w:p>
            <w:pPr>
              <w:pStyle w:val="Compact"/>
            </w:pPr>
            <w:r>
              <w:t xml:space="preserve">14.89</w:t>
            </w:r>
          </w:p>
        </w:tc>
        <w:tc>
          <w:tcPr/>
          <w:p>
            <w:pPr>
              <w:pStyle w:val="Compact"/>
            </w:pPr>
            <w:r>
              <w:t xml:space="preserve">11.88</w:t>
            </w:r>
          </w:p>
        </w:tc>
        <w:tc>
          <w:tcPr/>
          <w:p>
            <w:pPr>
              <w:pStyle w:val="Compact"/>
            </w:pPr>
            <w:r>
              <w:t xml:space="preserve">1.57</w:t>
            </w:r>
          </w:p>
        </w:tc>
        <w:tc>
          <w:tcPr/>
          <w:p>
            <w:pPr>
              <w:pStyle w:val="Compact"/>
            </w:pPr>
            <w:r>
              <w:t xml:space="preserve">6.28</w:t>
            </w:r>
          </w:p>
        </w:tc>
      </w:tr>
      <w:tr>
        <w:tc>
          <w:tcPr/>
          <w:p>
            <w:pPr>
              <w:pStyle w:val="Compact"/>
            </w:pPr>
            <w:r>
              <w:t xml:space="preserve">2024_Q4</w:t>
            </w:r>
          </w:p>
        </w:tc>
        <w:tc>
          <w:tcPr/>
          <w:p>
            <w:pPr>
              <w:pStyle w:val="Compact"/>
            </w:pPr>
            <w:r>
              <w:t xml:space="preserve">XAG</w:t>
            </w:r>
          </w:p>
        </w:tc>
        <w:tc>
          <w:tcPr/>
          <w:p>
            <w:pPr>
              <w:pStyle w:val="Compact"/>
            </w:pPr>
            <w:r>
              <w:t xml:space="preserve">-1.03</w:t>
            </w:r>
          </w:p>
        </w:tc>
        <w:tc>
          <w:tcPr/>
          <w:p>
            <w:pPr>
              <w:pStyle w:val="Compact"/>
            </w:pPr>
            <w:r>
              <w:t xml:space="preserve">-1.11</w:t>
            </w:r>
          </w:p>
        </w:tc>
        <w:tc>
          <w:tcPr/>
          <w:p>
            <w:pPr>
              <w:pStyle w:val="Compact"/>
            </w:pPr>
            <w:r>
              <w:t xml:space="preserve">-1740.00</w:t>
            </w:r>
          </w:p>
        </w:tc>
        <w:tc>
          <w:tcPr/>
          <w:p>
            <w:pPr>
              <w:pStyle w:val="Compact"/>
            </w:pPr>
            <w:r>
              <w:t xml:space="preserve">-1880.00</w:t>
            </w:r>
          </w:p>
        </w:tc>
        <w:tc>
          <w:tcPr/>
          <w:p>
            <w:pPr>
              <w:pStyle w:val="Compact"/>
            </w:pPr>
            <w:r>
              <w:t xml:space="preserve">-1.98</w:t>
            </w:r>
          </w:p>
        </w:tc>
        <w:tc>
          <w:tcPr/>
          <w:p>
            <w:pPr>
              <w:pStyle w:val="Compact"/>
            </w:pPr>
            <w:r>
              <w:t xml:space="preserve">-2.07</w:t>
            </w:r>
          </w:p>
        </w:tc>
        <w:tc>
          <w:tcPr/>
          <w:p>
            <w:pPr>
              <w:pStyle w:val="Compact"/>
            </w:pPr>
            <w:r>
              <w:t xml:space="preserve">0.15</w:t>
            </w:r>
          </w:p>
        </w:tc>
        <w:tc>
          <w:tcPr/>
          <w:p>
            <w:pPr>
              <w:pStyle w:val="Compact"/>
            </w:pPr>
            <w:r>
              <w:t xml:space="preserve">-1.02</w:t>
            </w:r>
          </w:p>
        </w:tc>
      </w:tr>
      <w:tr>
        <w:tc>
          <w:tcPr/>
          <w:p>
            <w:pPr>
              <w:pStyle w:val="Compact"/>
            </w:pPr>
            <w:r>
              <w:t xml:space="preserve">2024_Q4</w:t>
            </w:r>
          </w:p>
        </w:tc>
        <w:tc>
          <w:tcPr/>
          <w:p>
            <w:pPr>
              <w:pStyle w:val="Compact"/>
            </w:pPr>
            <w:r>
              <w:t xml:space="preserve">XAU</w:t>
            </w:r>
          </w:p>
        </w:tc>
        <w:tc>
          <w:tcPr/>
          <w:p>
            <w:pPr>
              <w:pStyle w:val="Compact"/>
            </w:pPr>
            <w:r>
              <w:t xml:space="preserve">3.43</w:t>
            </w:r>
          </w:p>
        </w:tc>
        <w:tc>
          <w:tcPr/>
          <w:p>
            <w:pPr>
              <w:pStyle w:val="Compact"/>
            </w:pPr>
            <w:r>
              <w:t xml:space="preserve">3.19</w:t>
            </w:r>
          </w:p>
        </w:tc>
        <w:tc>
          <w:tcPr/>
          <w:p>
            <w:pPr>
              <w:pStyle w:val="Compact"/>
            </w:pPr>
            <w:r>
              <w:t xml:space="preserve">29483.30</w:t>
            </w:r>
          </w:p>
        </w:tc>
        <w:tc>
          <w:tcPr/>
          <w:p>
            <w:pPr>
              <w:pStyle w:val="Compact"/>
            </w:pPr>
            <w:r>
              <w:t xml:space="preserve">27443.30</w:t>
            </w:r>
          </w:p>
        </w:tc>
        <w:tc>
          <w:tcPr/>
          <w:p>
            <w:pPr>
              <w:pStyle w:val="Compact"/>
            </w:pPr>
            <w:r>
              <w:t xml:space="preserve">13.45</w:t>
            </w:r>
          </w:p>
        </w:tc>
        <w:tc>
          <w:tcPr/>
          <w:p>
            <w:pPr>
              <w:pStyle w:val="Compact"/>
            </w:pPr>
            <w:r>
              <w:t xml:space="preserve">12.03</w:t>
            </w:r>
          </w:p>
        </w:tc>
        <w:tc>
          <w:tcPr/>
          <w:p>
            <w:pPr>
              <w:pStyle w:val="Compact"/>
            </w:pPr>
            <w:r>
              <w:t xml:space="preserve">1.49</w:t>
            </w:r>
          </w:p>
        </w:tc>
        <w:tc>
          <w:tcPr/>
          <w:p>
            <w:pPr>
              <w:pStyle w:val="Compact"/>
            </w:pPr>
            <w:r>
              <w:t xml:space="preserve">8.91</w:t>
            </w:r>
          </w:p>
        </w:tc>
      </w:tr>
      <w:tr>
        <w:tc>
          <w:tcPr/>
          <w:p>
            <w:pPr>
              <w:pStyle w:val="Compact"/>
            </w:pPr>
            <w:r>
              <w:t xml:space="preserve">2025_Q1</w:t>
            </w:r>
          </w:p>
        </w:tc>
        <w:tc>
          <w:tcPr/>
          <w:p>
            <w:pPr>
              <w:pStyle w:val="Compact"/>
            </w:pPr>
            <w:r>
              <w:t xml:space="preserve">XAG</w:t>
            </w:r>
          </w:p>
        </w:tc>
        <w:tc>
          <w:tcPr/>
          <w:p>
            <w:pPr>
              <w:pStyle w:val="Compact"/>
            </w:pPr>
            <w:r>
              <w:t xml:space="preserve">-0.11</w:t>
            </w:r>
          </w:p>
        </w:tc>
        <w:tc>
          <w:tcPr/>
          <w:p>
            <w:pPr>
              <w:pStyle w:val="Compact"/>
            </w:pPr>
            <w:r>
              <w:t xml:space="preserve">-0.16</w:t>
            </w:r>
          </w:p>
        </w:tc>
        <w:tc>
          <w:tcPr/>
          <w:p>
            <w:pPr>
              <w:pStyle w:val="Compact"/>
            </w:pPr>
            <w:r>
              <w:t xml:space="preserve">-90.00</w:t>
            </w:r>
          </w:p>
        </w:tc>
        <w:tc>
          <w:tcPr/>
          <w:p>
            <w:pPr>
              <w:pStyle w:val="Compact"/>
            </w:pPr>
            <w:r>
              <w:t xml:space="preserve">-130.00</w:t>
            </w:r>
          </w:p>
        </w:tc>
        <w:tc>
          <w:tcPr/>
          <w:p>
            <w:pPr>
              <w:pStyle w:val="Compact"/>
            </w:pPr>
            <w:r>
              <w:t xml:space="preserve">-0.37</w:t>
            </w:r>
          </w:p>
        </w:tc>
        <w:tc>
          <w:tcPr/>
          <w:p>
            <w:pPr>
              <w:pStyle w:val="Compact"/>
            </w:pPr>
            <w:r>
              <w:t xml:space="preserve">-0.53</w:t>
            </w:r>
          </w:p>
        </w:tc>
        <w:tc>
          <w:tcPr/>
          <w:p>
            <w:pPr>
              <w:pStyle w:val="Compact"/>
            </w:pPr>
            <w:r>
              <w:t xml:space="preserve">0.04</w:t>
            </w:r>
          </w:p>
        </w:tc>
        <w:tc>
          <w:tcPr/>
          <w:p>
            <w:pPr>
              <w:pStyle w:val="Compact"/>
            </w:pPr>
            <w:r>
              <w:t xml:space="preserve">-0.00</w:t>
            </w:r>
          </w:p>
        </w:tc>
      </w:tr>
      <w:tr>
        <w:tc>
          <w:tcPr/>
          <w:p>
            <w:pPr>
              <w:pStyle w:val="Compact"/>
            </w:pPr>
            <w:r>
              <w:t xml:space="preserve">2025_Q1</w:t>
            </w:r>
          </w:p>
        </w:tc>
        <w:tc>
          <w:tcPr/>
          <w:p>
            <w:pPr>
              <w:pStyle w:val="Compact"/>
            </w:pPr>
            <w:r>
              <w:t xml:space="preserve">XAU</w:t>
            </w:r>
          </w:p>
        </w:tc>
        <w:tc>
          <w:tcPr/>
          <w:p>
            <w:pPr>
              <w:pStyle w:val="Compact"/>
            </w:pPr>
            <w:r>
              <w:t xml:space="preserve">2.35</w:t>
            </w:r>
          </w:p>
        </w:tc>
        <w:tc>
          <w:tcPr/>
          <w:p>
            <w:pPr>
              <w:pStyle w:val="Compact"/>
            </w:pPr>
            <w:r>
              <w:t xml:space="preserve">2.10</w:t>
            </w:r>
          </w:p>
        </w:tc>
        <w:tc>
          <w:tcPr/>
          <w:p>
            <w:pPr>
              <w:pStyle w:val="Compact"/>
            </w:pPr>
            <w:r>
              <w:t xml:space="preserve">20719.00</w:t>
            </w:r>
          </w:p>
        </w:tc>
        <w:tc>
          <w:tcPr/>
          <w:p>
            <w:pPr>
              <w:pStyle w:val="Compact"/>
            </w:pPr>
            <w:r>
              <w:t xml:space="preserve">18544.00</w:t>
            </w:r>
          </w:p>
        </w:tc>
        <w:tc>
          <w:tcPr/>
          <w:p>
            <w:pPr>
              <w:pStyle w:val="Compact"/>
            </w:pPr>
            <w:r>
              <w:t xml:space="preserve">10.05</w:t>
            </w:r>
          </w:p>
        </w:tc>
        <w:tc>
          <w:tcPr/>
          <w:p>
            <w:pPr>
              <w:pStyle w:val="Compact"/>
            </w:pPr>
            <w:r>
              <w:t xml:space="preserve">8.60</w:t>
            </w:r>
          </w:p>
        </w:tc>
        <w:tc>
          <w:tcPr/>
          <w:p>
            <w:pPr>
              <w:pStyle w:val="Compact"/>
            </w:pPr>
            <w:r>
              <w:t xml:space="preserve">1.61</w:t>
            </w:r>
          </w:p>
        </w:tc>
        <w:tc>
          <w:tcPr/>
          <w:p>
            <w:pPr>
              <w:pStyle w:val="Compact"/>
            </w:pPr>
            <w:r>
              <w:t xml:space="preserve">4.68</w:t>
            </w:r>
          </w:p>
        </w:tc>
      </w:tr>
      <w:tr>
        <w:tc>
          <w:tcPr/>
          <w:p>
            <w:pPr>
              <w:pStyle w:val="Compact"/>
            </w:pPr>
            <w:r>
              <w:t xml:space="preserve">2025_Q2</w:t>
            </w:r>
          </w:p>
        </w:tc>
        <w:tc>
          <w:tcPr/>
          <w:p>
            <w:pPr>
              <w:pStyle w:val="Compact"/>
            </w:pPr>
            <w:r>
              <w:t xml:space="preserve">XAG</w:t>
            </w:r>
          </w:p>
        </w:tc>
        <w:tc>
          <w:tcPr/>
          <w:p>
            <w:pPr>
              <w:pStyle w:val="Compact"/>
            </w:pPr>
            <w:r>
              <w:t xml:space="preserve">-0.72</w:t>
            </w:r>
          </w:p>
        </w:tc>
        <w:tc>
          <w:tcPr/>
          <w:p>
            <w:pPr>
              <w:pStyle w:val="Compact"/>
            </w:pPr>
            <w:r>
              <w:t xml:space="preserve">-0.86</w:t>
            </w:r>
          </w:p>
        </w:tc>
        <w:tc>
          <w:tcPr/>
          <w:p>
            <w:pPr>
              <w:pStyle w:val="Compact"/>
            </w:pPr>
            <w:r>
              <w:t xml:space="preserve">-580.00</w:t>
            </w:r>
          </w:p>
        </w:tc>
        <w:tc>
          <w:tcPr/>
          <w:p>
            <w:pPr>
              <w:pStyle w:val="Compact"/>
            </w:pPr>
            <w:r>
              <w:t xml:space="preserve">-700.00</w:t>
            </w:r>
          </w:p>
        </w:tc>
        <w:tc>
          <w:tcPr/>
          <w:p>
            <w:pPr>
              <w:pStyle w:val="Compact"/>
            </w:pPr>
            <w:r>
              <w:t xml:space="preserve">-2.66</w:t>
            </w:r>
          </w:p>
        </w:tc>
        <w:tc>
          <w:tcPr/>
          <w:p>
            <w:pPr>
              <w:pStyle w:val="Compact"/>
            </w:pPr>
            <w:r>
              <w:t xml:space="preserve">-3.07</w:t>
            </w:r>
          </w:p>
        </w:tc>
        <w:tc>
          <w:tcPr/>
          <w:p>
            <w:pPr>
              <w:pStyle w:val="Compact"/>
            </w:pPr>
            <w:r>
              <w:t xml:space="preserve">0.13</w:t>
            </w:r>
          </w:p>
        </w:tc>
        <w:tc>
          <w:tcPr/>
          <w:p>
            <w:pPr>
              <w:pStyle w:val="Compact"/>
            </w:pPr>
            <w:r>
              <w:t xml:space="preserve">-0.00</w:t>
            </w:r>
          </w:p>
        </w:tc>
      </w:tr>
      <w:tr>
        <w:tc>
          <w:tcPr/>
          <w:p>
            <w:pPr>
              <w:pStyle w:val="Compact"/>
            </w:pPr>
            <w:r>
              <w:t xml:space="preserve">2025_Q2</w:t>
            </w:r>
          </w:p>
        </w:tc>
        <w:tc>
          <w:tcPr/>
          <w:p>
            <w:pPr>
              <w:pStyle w:val="Compact"/>
            </w:pPr>
            <w:r>
              <w:t xml:space="preserve">XAU</w:t>
            </w:r>
          </w:p>
        </w:tc>
        <w:tc>
          <w:tcPr/>
          <w:p>
            <w:pPr>
              <w:pStyle w:val="Compact"/>
            </w:pPr>
            <w:r>
              <w:t xml:space="preserve">0.67</w:t>
            </w:r>
          </w:p>
        </w:tc>
        <w:tc>
          <w:tcPr/>
          <w:p>
            <w:pPr>
              <w:pStyle w:val="Compact"/>
            </w:pPr>
            <w:r>
              <w:t xml:space="preserve">0.55</w:t>
            </w:r>
          </w:p>
        </w:tc>
        <w:tc>
          <w:tcPr/>
          <w:p>
            <w:pPr>
              <w:pStyle w:val="Compact"/>
            </w:pPr>
            <w:r>
              <w:t xml:space="preserve">12753.10</w:t>
            </w:r>
          </w:p>
        </w:tc>
        <w:tc>
          <w:tcPr/>
          <w:p>
            <w:pPr>
              <w:pStyle w:val="Compact"/>
            </w:pPr>
            <w:r>
              <w:t xml:space="preserve">10443.10</w:t>
            </w:r>
          </w:p>
        </w:tc>
        <w:tc>
          <w:tcPr/>
          <w:p>
            <w:pPr>
              <w:pStyle w:val="Compact"/>
            </w:pPr>
            <w:r>
              <w:t xml:space="preserve">2.30</w:t>
            </w:r>
          </w:p>
        </w:tc>
        <w:tc>
          <w:tcPr/>
          <w:p>
            <w:pPr>
              <w:pStyle w:val="Compact"/>
            </w:pPr>
            <w:r>
              <w:t xml:space="preserve">1.79</w:t>
            </w:r>
          </w:p>
        </w:tc>
        <w:tc>
          <w:tcPr/>
          <w:p>
            <w:pPr>
              <w:pStyle w:val="Compact"/>
            </w:pPr>
            <w:r>
              <w:t xml:space="preserve">1.69</w:t>
            </w:r>
          </w:p>
        </w:tc>
        <w:tc>
          <w:tcPr/>
          <w:p>
            <w:pPr>
              <w:pStyle w:val="Compact"/>
            </w:pPr>
            <w:r>
              <w:t xml:space="preserve">0.11</w:t>
            </w:r>
          </w:p>
        </w:tc>
      </w:tr>
      <w:tr>
        <w:tc>
          <w:tcPr/>
          <w:p>
            <w:pPr>
              <w:pStyle w:val="Compact"/>
            </w:pPr>
            <w:r>
              <w:t xml:space="preserve">2025_Q3</w:t>
            </w:r>
          </w:p>
        </w:tc>
        <w:tc>
          <w:tcPr/>
          <w:p>
            <w:pPr>
              <w:pStyle w:val="Compact"/>
            </w:pPr>
            <w:r>
              <w:t xml:space="preserve">XAG</w:t>
            </w:r>
          </w:p>
        </w:tc>
        <w:tc>
          <w:tcPr/>
          <w:p>
            <w:pPr>
              <w:pStyle w:val="Compact"/>
            </w:pPr>
            <w:r>
              <w:t xml:space="preserve">0.16</w:t>
            </w:r>
          </w:p>
        </w:tc>
        <w:tc>
          <w:tcPr/>
          <w:p>
            <w:pPr>
              <w:pStyle w:val="Compact"/>
            </w:pPr>
            <w:r>
              <w:t xml:space="preserve">0.06</w:t>
            </w:r>
          </w:p>
        </w:tc>
        <w:tc>
          <w:tcPr/>
          <w:p>
            <w:pPr>
              <w:pStyle w:val="Compact"/>
            </w:pPr>
            <w:r>
              <w:t xml:space="preserve">280.00</w:t>
            </w:r>
          </w:p>
        </w:tc>
        <w:tc>
          <w:tcPr/>
          <w:p>
            <w:pPr>
              <w:pStyle w:val="Compact"/>
            </w:pPr>
            <w:r>
              <w:t xml:space="preserve">100.00</w:t>
            </w:r>
          </w:p>
        </w:tc>
        <w:tc>
          <w:tcPr/>
          <w:p>
            <w:pPr>
              <w:pStyle w:val="Compact"/>
            </w:pPr>
            <w:r>
              <w:t xml:space="preserve">0.36</w:t>
            </w:r>
          </w:p>
        </w:tc>
        <w:tc>
          <w:tcPr/>
          <w:p>
            <w:pPr>
              <w:pStyle w:val="Compact"/>
            </w:pPr>
            <w:r>
              <w:t xml:space="preserve">0.13</w:t>
            </w:r>
          </w:p>
        </w:tc>
        <w:tc>
          <w:tcPr/>
          <w:p>
            <w:pPr>
              <w:pStyle w:val="Compact"/>
            </w:pPr>
            <w:r>
              <w:t xml:space="preserve">0.20</w:t>
            </w:r>
          </w:p>
        </w:tc>
        <w:tc>
          <w:tcPr/>
          <w:p>
            <w:pPr>
              <w:pStyle w:val="Compact"/>
            </w:pPr>
            <w:r>
              <w:t xml:space="preserve">-0.00</w:t>
            </w:r>
          </w:p>
        </w:tc>
      </w:tr>
      <w:tr>
        <w:tc>
          <w:tcPr/>
          <w:p>
            <w:pPr>
              <w:pStyle w:val="Compact"/>
            </w:pPr>
            <w:r>
              <w:t xml:space="preserve">2025_Q3</w:t>
            </w:r>
          </w:p>
        </w:tc>
        <w:tc>
          <w:tcPr/>
          <w:p>
            <w:pPr>
              <w:pStyle w:val="Compact"/>
            </w:pPr>
            <w:r>
              <w:t xml:space="preserve">XAU</w:t>
            </w:r>
          </w:p>
        </w:tc>
        <w:tc>
          <w:tcPr/>
          <w:p>
            <w:pPr>
              <w:pStyle w:val="Compact"/>
            </w:pPr>
            <w:r>
              <w:t xml:space="preserve">-0.25</w:t>
            </w:r>
          </w:p>
        </w:tc>
        <w:tc>
          <w:tcPr/>
          <w:p>
            <w:pPr>
              <w:pStyle w:val="Compact"/>
            </w:pPr>
            <w:r>
              <w:t xml:space="preserve">-0.43</w:t>
            </w:r>
          </w:p>
        </w:tc>
        <w:tc>
          <w:tcPr/>
          <w:p>
            <w:pPr>
              <w:pStyle w:val="Compact"/>
            </w:pPr>
            <w:r>
              <w:t xml:space="preserve">-3306.20</w:t>
            </w:r>
          </w:p>
        </w:tc>
        <w:tc>
          <w:tcPr/>
          <w:p>
            <w:pPr>
              <w:pStyle w:val="Compact"/>
            </w:pPr>
            <w:r>
              <w:t xml:space="preserve">-5661.20</w:t>
            </w:r>
          </w:p>
        </w:tc>
        <w:tc>
          <w:tcPr/>
          <w:p>
            <w:pPr>
              <w:pStyle w:val="Compact"/>
            </w:pPr>
            <w:r>
              <w:t xml:space="preserve">-0.64</w:t>
            </w:r>
          </w:p>
        </w:tc>
        <w:tc>
          <w:tcPr/>
          <w:p>
            <w:pPr>
              <w:pStyle w:val="Compact"/>
            </w:pPr>
            <w:r>
              <w:t xml:space="preserve">-1.02</w:t>
            </w:r>
          </w:p>
        </w:tc>
        <w:tc>
          <w:tcPr/>
          <w:p>
            <w:pPr>
              <w:pStyle w:val="Compact"/>
            </w:pPr>
            <w:r>
              <w:t xml:space="preserve">1.71</w:t>
            </w:r>
          </w:p>
        </w:tc>
        <w:tc>
          <w:tcPr/>
          <w:p>
            <w:pPr>
              <w:pStyle w:val="Compact"/>
            </w:pPr>
            <w:r>
              <w:t xml:space="preserve">-1.62</w:t>
            </w:r>
          </w:p>
        </w:tc>
      </w:tr>
      <w:tr>
        <w:tc>
          <w:tcPr/>
          <w:p>
            <w:pPr>
              <w:pStyle w:val="Compact"/>
            </w:pPr>
            <w:r>
              <w:t xml:space="preserve">2025_Q4</w:t>
            </w:r>
          </w:p>
        </w:tc>
        <w:tc>
          <w:tcPr/>
          <w:p>
            <w:pPr>
              <w:pStyle w:val="Compact"/>
            </w:pPr>
            <w:r>
              <w:t xml:space="preserve">XAG</w:t>
            </w:r>
          </w:p>
        </w:tc>
        <w:tc>
          <w:tcPr/>
          <w:p>
            <w:pPr>
              <w:pStyle w:val="Compact"/>
            </w:pPr>
            <w:r>
              <w:t xml:space="preserve">1.71</w:t>
            </w:r>
          </w:p>
        </w:tc>
        <w:tc>
          <w:tcPr/>
          <w:p>
            <w:pPr>
              <w:pStyle w:val="Compact"/>
            </w:pPr>
            <w:r>
              <w:t xml:space="preserve">1.53</w:t>
            </w:r>
          </w:p>
        </w:tc>
        <w:tc>
          <w:tcPr/>
          <w:p>
            <w:pPr>
              <w:pStyle w:val="Compact"/>
            </w:pPr>
            <w:r>
              <w:t xml:space="preserve">1420.00</w:t>
            </w:r>
          </w:p>
        </w:tc>
        <w:tc>
          <w:tcPr/>
          <w:p>
            <w:pPr>
              <w:pStyle w:val="Compact"/>
            </w:pPr>
            <w:r>
              <w:t xml:space="preserve">1260.00</w:t>
            </w:r>
          </w:p>
        </w:tc>
        <w:tc>
          <w:tcPr/>
          <w:p>
            <w:pPr>
              <w:pStyle w:val="Compact"/>
            </w:pPr>
            <w:r>
              <w:t xml:space="preserve">2.87</w:t>
            </w:r>
          </w:p>
        </w:tc>
        <w:tc>
          <w:tcPr/>
          <w:p>
            <w:pPr>
              <w:pStyle w:val="Compact"/>
            </w:pPr>
            <w:r>
              <w:t xml:space="preserve">2.51</w:t>
            </w:r>
          </w:p>
        </w:tc>
        <w:tc>
          <w:tcPr/>
          <w:p>
            <w:pPr>
              <w:pStyle w:val="Compact"/>
            </w:pPr>
            <w:r>
              <w:t xml:space="preserve">0.53</w:t>
            </w:r>
          </w:p>
        </w:tc>
        <w:tc>
          <w:tcPr/>
          <w:p>
            <w:pPr>
              <w:pStyle w:val="Compact"/>
            </w:pPr>
            <w:r>
              <w:t xml:space="preserve">0.24</w:t>
            </w:r>
          </w:p>
        </w:tc>
      </w:tr>
      <w:tr>
        <w:tc>
          <w:tcPr/>
          <w:p>
            <w:pPr>
              <w:pStyle w:val="Compact"/>
            </w:pPr>
            <w:r>
              <w:t xml:space="preserve">2025_Q4</w:t>
            </w:r>
          </w:p>
        </w:tc>
        <w:tc>
          <w:tcPr/>
          <w:p>
            <w:pPr>
              <w:pStyle w:val="Compact"/>
            </w:pPr>
            <w:r>
              <w:t xml:space="preserve">XAU</w:t>
            </w:r>
          </w:p>
        </w:tc>
        <w:tc>
          <w:tcPr/>
          <w:p>
            <w:pPr>
              <w:pStyle w:val="Compact"/>
            </w:pPr>
            <w:r>
              <w:t xml:space="preserve">2.53</w:t>
            </w:r>
          </w:p>
        </w:tc>
        <w:tc>
          <w:tcPr/>
          <w:p>
            <w:pPr>
              <w:pStyle w:val="Compact"/>
            </w:pPr>
            <w:r>
              <w:t xml:space="preserve">2.43</w:t>
            </w:r>
          </w:p>
        </w:tc>
        <w:tc>
          <w:tcPr/>
          <w:p>
            <w:pPr>
              <w:pStyle w:val="Compact"/>
            </w:pPr>
            <w:r>
              <w:t xml:space="preserve">21825.00</w:t>
            </w:r>
          </w:p>
        </w:tc>
        <w:tc>
          <w:tcPr/>
          <w:p>
            <w:pPr>
              <w:pStyle w:val="Compact"/>
            </w:pPr>
            <w:r>
              <w:t xml:space="preserve">21000.00</w:t>
            </w:r>
          </w:p>
        </w:tc>
        <w:tc>
          <w:tcPr/>
          <w:p>
            <w:pPr>
              <w:pStyle w:val="Compact"/>
            </w:pPr>
            <w:r>
              <w:t xml:space="preserve">5.73</w:t>
            </w:r>
          </w:p>
        </w:tc>
        <w:tc>
          <w:tcPr/>
          <w:p>
            <w:pPr>
              <w:pStyle w:val="Compact"/>
            </w:pPr>
            <w:r>
              <w:t xml:space="preserve">5.47</w:t>
            </w:r>
          </w:p>
        </w:tc>
        <w:tc>
          <w:tcPr/>
          <w:p>
            <w:pPr>
              <w:pStyle w:val="Compact"/>
            </w:pPr>
            <w:r>
              <w:t xml:space="preserve">1.83</w:t>
            </w:r>
          </w:p>
        </w:tc>
        <w:tc>
          <w:tcPr/>
          <w:p>
            <w:pPr>
              <w:pStyle w:val="Compact"/>
            </w:pPr>
            <w:r>
              <w:t xml:space="preserve">5.89</w:t>
            </w:r>
          </w:p>
        </w:tc>
      </w:tr>
    </w:tbl>
    <w:bookmarkEnd w:id="88"/>
    <w:p>
      <w:pPr>
        <w:pStyle w:val="BodyText"/>
      </w:pPr>
      <w:r>
        <w:t xml:space="preserve">The results highlight a distinct division of labor. Gold (XAU) acts as the primary profit engine, trading frequently with a high standard deviation but capturing the largest trends. Silver (XAG) acts as a diversifier; the strict US-session filter results in very low trade frequency (often &lt; 0.2 trades/day), which preserves capital during choppy quarters while still participating in major volatility events.</w:t>
      </w:r>
    </w:p>
    <w:bookmarkEnd w:id="89"/>
    <w:bookmarkStart w:id="138" w:name="equity-lines"/>
    <w:p>
      <w:pPr>
        <w:pStyle w:val="Heading2"/>
      </w:pPr>
      <w:r>
        <w:t xml:space="preserve">Equity lines</w:t>
      </w:r>
    </w:p>
    <w:bookmarkStart w:id="93" w:name="q1"/>
    <w:p>
      <w:pPr>
        <w:pStyle w:val="Heading3"/>
      </w:pPr>
      <w:r>
        <w:t xml:space="preserve">2023Q1</w:t>
      </w:r>
    </w:p>
    <w:p>
      <w:pPr>
        <w:pStyle w:val="FirstParagraph"/>
      </w:pPr>
      <w:r>
        <w:drawing>
          <wp:inline>
            <wp:extent cx="5334000" cy="2888681"/>
            <wp:effectExtent b="0" l="0" r="0" t="0"/>
            <wp:docPr descr="" title="" id="91" name="Picture"/>
            <a:graphic>
              <a:graphicData uri="http://schemas.openxmlformats.org/drawingml/2006/picture">
                <pic:pic>
                  <pic:nvPicPr>
                    <pic:cNvPr descr="final_report_word_files/figure-docx/cell-18-output-1.png" id="92" name="Picture"/>
                    <pic:cNvPicPr>
                      <a:picLocks noChangeArrowheads="1" noChangeAspect="1"/>
                    </pic:cNvPicPr>
                  </pic:nvPicPr>
                  <pic:blipFill>
                    <a:blip r:embed="rId90"/>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challenging quarter to start. The portfolio experienced a V-shaped drawdown driven by Gold’s whipsaws in February. However, the Silver strategy’s session filter worked as intended, keeping it flat and preventing the drawdown from deepening further.</w:t>
      </w:r>
    </w:p>
    <w:bookmarkEnd w:id="93"/>
    <w:bookmarkStart w:id="97" w:name="q2---out-of-sample"/>
    <w:p>
      <w:pPr>
        <w:pStyle w:val="Heading3"/>
      </w:pPr>
      <w:r>
        <w:t xml:space="preserve">2023Q2 - out of sample</w:t>
      </w:r>
    </w:p>
    <w:p>
      <w:pPr>
        <w:pStyle w:val="FirstParagraph"/>
      </w:pPr>
      <w:r>
        <w:drawing>
          <wp:inline>
            <wp:extent cx="5334000" cy="2888681"/>
            <wp:effectExtent b="0" l="0" r="0" t="0"/>
            <wp:docPr descr="" title="" id="95" name="Picture"/>
            <a:graphic>
              <a:graphicData uri="http://schemas.openxmlformats.org/drawingml/2006/picture">
                <pic:pic>
                  <pic:nvPicPr>
                    <pic:cNvPr descr="final_report_word_files/figure-docx/cell-19-output-1.png" id="96" name="Picture"/>
                    <pic:cNvPicPr>
                      <a:picLocks noChangeArrowheads="1" noChangeAspect="1"/>
                    </pic:cNvPicPr>
                  </pic:nvPicPr>
                  <pic:blipFill>
                    <a:blip r:embed="rId94"/>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difficult quarter characterized by persistent chopping. The strategy entered a drawdown early in April and struggled to recover as the market lacked sustained direction. The downward drift suggests that the</w:t>
      </w:r>
      <w:r>
        <w:t xml:space="preserve"> </w:t>
      </w:r>
      <w:r>
        <w:t xml:space="preserve">“breakout”</w:t>
      </w:r>
      <w:r>
        <w:t xml:space="preserve"> </w:t>
      </w:r>
      <w:r>
        <w:t xml:space="preserve">logic was frequently triggered by false moves that reversed before gaining traction.</w:t>
      </w:r>
    </w:p>
    <w:bookmarkEnd w:id="97"/>
    <w:bookmarkStart w:id="101" w:name="q3"/>
    <w:p>
      <w:pPr>
        <w:pStyle w:val="Heading3"/>
      </w:pPr>
      <w:r>
        <w:t xml:space="preserve">2023Q3</w:t>
      </w:r>
    </w:p>
    <w:p>
      <w:pPr>
        <w:pStyle w:val="FirstParagraph"/>
      </w:pPr>
      <w:r>
        <w:drawing>
          <wp:inline>
            <wp:extent cx="5334000" cy="2886835"/>
            <wp:effectExtent b="0" l="0" r="0" t="0"/>
            <wp:docPr descr="" title="" id="99" name="Picture"/>
            <a:graphic>
              <a:graphicData uri="http://schemas.openxmlformats.org/drawingml/2006/picture">
                <pic:pic>
                  <pic:nvPicPr>
                    <pic:cNvPr descr="final_report_word_files/figure-docx/cell-20-output-1.png" id="100" name="Picture"/>
                    <pic:cNvPicPr>
                      <a:picLocks noChangeArrowheads="1" noChangeAspect="1"/>
                    </pic:cNvPicPr>
                  </pic:nvPicPr>
                  <pic:blipFill>
                    <a:blip r:embed="rId98"/>
                    <a:stretch>
                      <a:fillRect/>
                    </a:stretch>
                  </pic:blipFill>
                  <pic:spPr bwMode="auto">
                    <a:xfrm>
                      <a:off x="0" y="0"/>
                      <a:ext cx="5334000" cy="2886835"/>
                    </a:xfrm>
                    <a:prstGeom prst="rect">
                      <a:avLst/>
                    </a:prstGeom>
                    <a:noFill/>
                    <a:ln w="9525">
                      <a:noFill/>
                      <a:headEnd/>
                      <a:tailEnd/>
                    </a:ln>
                  </pic:spPr>
                </pic:pic>
              </a:graphicData>
            </a:graphic>
          </wp:inline>
        </w:drawing>
      </w:r>
    </w:p>
    <w:p>
      <w:pPr>
        <w:pStyle w:val="BodyText"/>
      </w:pPr>
      <w:r>
        <w:rPr>
          <w:b/>
          <w:bCs/>
        </w:rPr>
        <w:t xml:space="preserve">Comment</w:t>
      </w:r>
      <w:r>
        <w:t xml:space="preserve">: A solid recovery period. Both metals contributed positively, with the strategy successfully capturing a late-quarter trend. The net equity curve shows a steady, low-volatility climb, indicating the volatility filter successfully screened out the mid-quarter noise.</w:t>
      </w:r>
    </w:p>
    <w:bookmarkEnd w:id="101"/>
    <w:bookmarkStart w:id="105" w:name="q4"/>
    <w:p>
      <w:pPr>
        <w:pStyle w:val="Heading3"/>
      </w:pPr>
      <w:r>
        <w:t xml:space="preserve">2023Q4</w:t>
      </w:r>
    </w:p>
    <w:p>
      <w:pPr>
        <w:pStyle w:val="FirstParagraph"/>
      </w:pPr>
      <w:r>
        <w:drawing>
          <wp:inline>
            <wp:extent cx="5334000" cy="2860334"/>
            <wp:effectExtent b="0" l="0" r="0" t="0"/>
            <wp:docPr descr="" title="" id="103" name="Picture"/>
            <a:graphic>
              <a:graphicData uri="http://schemas.openxmlformats.org/drawingml/2006/picture">
                <pic:pic>
                  <pic:nvPicPr>
                    <pic:cNvPr descr="final_report_word_files/figure-docx/cell-21-output-1.png" id="104" name="Picture"/>
                    <pic:cNvPicPr>
                      <a:picLocks noChangeArrowheads="1" noChangeAspect="1"/>
                    </pic:cNvPicPr>
                  </pic:nvPicPr>
                  <pic:blipFill>
                    <a:blip r:embed="rId102"/>
                    <a:stretch>
                      <a:fillRect/>
                    </a:stretch>
                  </pic:blipFill>
                  <pic:spPr bwMode="auto">
                    <a:xfrm>
                      <a:off x="0" y="0"/>
                      <a:ext cx="5334000" cy="2860334"/>
                    </a:xfrm>
                    <a:prstGeom prst="rect">
                      <a:avLst/>
                    </a:prstGeom>
                    <a:noFill/>
                    <a:ln w="9525">
                      <a:noFill/>
                      <a:headEnd/>
                      <a:tailEnd/>
                    </a:ln>
                  </pic:spPr>
                </pic:pic>
              </a:graphicData>
            </a:graphic>
          </wp:inline>
        </w:drawing>
      </w:r>
    </w:p>
    <w:p>
      <w:pPr>
        <w:pStyle w:val="BodyText"/>
      </w:pPr>
      <w:r>
        <w:rPr>
          <w:b/>
          <w:bCs/>
        </w:rPr>
        <w:t xml:space="preserve">Comment</w:t>
      </w:r>
      <w:r>
        <w:t xml:space="preserve">: Strong performance driven primarily by Gold. The 24-hour breakout logic allowed the portfolio to hold a long position through overnight volatility, capturing a major multi-week trend that shorter-term strategies would have exited prematurely.</w:t>
      </w:r>
    </w:p>
    <w:bookmarkEnd w:id="105"/>
    <w:bookmarkStart w:id="109" w:name="q1---out-of-sample"/>
    <w:p>
      <w:pPr>
        <w:pStyle w:val="Heading3"/>
      </w:pPr>
      <w:r>
        <w:t xml:space="preserve">2024Q1 - out of sample</w:t>
      </w:r>
    </w:p>
    <w:p>
      <w:pPr>
        <w:pStyle w:val="FirstParagraph"/>
      </w:pPr>
      <w:r>
        <w:drawing>
          <wp:inline>
            <wp:extent cx="5334000" cy="2910079"/>
            <wp:effectExtent b="0" l="0" r="0" t="0"/>
            <wp:docPr descr="" title="" id="107" name="Picture"/>
            <a:graphic>
              <a:graphicData uri="http://schemas.openxmlformats.org/drawingml/2006/picture">
                <pic:pic>
                  <pic:nvPicPr>
                    <pic:cNvPr descr="final_report_word_files/figure-docx/cell-22-output-1.png" id="108" name="Picture"/>
                    <pic:cNvPicPr>
                      <a:picLocks noChangeArrowheads="1" noChangeAspect="1"/>
                    </pic:cNvPicPr>
                  </pic:nvPicPr>
                  <pic:blipFill>
                    <a:blip r:embed="rId106"/>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The quarter began with a drawdown in January and February, consistent with low-volatility consolidation. However, a strong recovery trend emerged in March, allowing the strategy to claw back losses and finish the quarter with a significantly improved equity curve, validating the</w:t>
      </w:r>
      <w:r>
        <w:t xml:space="preserve"> </w:t>
      </w:r>
      <w:r>
        <w:t xml:space="preserve">“hold for the big move”</w:t>
      </w:r>
      <w:r>
        <w:t xml:space="preserve"> </w:t>
      </w:r>
      <w:r>
        <w:t xml:space="preserve">philosophy.</w:t>
      </w:r>
    </w:p>
    <w:bookmarkEnd w:id="109"/>
    <w:bookmarkStart w:id="113" w:name="q2"/>
    <w:p>
      <w:pPr>
        <w:pStyle w:val="Heading3"/>
      </w:pPr>
      <w:r>
        <w:t xml:space="preserve">2024Q2</w:t>
      </w:r>
    </w:p>
    <w:p>
      <w:pPr>
        <w:pStyle w:val="FirstParagraph"/>
      </w:pPr>
      <w:r>
        <w:drawing>
          <wp:inline>
            <wp:extent cx="5334000" cy="2910079"/>
            <wp:effectExtent b="0" l="0" r="0" t="0"/>
            <wp:docPr descr="" title="" id="111" name="Picture"/>
            <a:graphic>
              <a:graphicData uri="http://schemas.openxmlformats.org/drawingml/2006/picture">
                <pic:pic>
                  <pic:nvPicPr>
                    <pic:cNvPr descr="final_report_word_files/figure-docx/cell-23-output-1.png" id="112" name="Picture"/>
                    <pic:cNvPicPr>
                      <a:picLocks noChangeArrowheads="1" noChangeAspect="1"/>
                    </pic:cNvPicPr>
                  </pic:nvPicPr>
                  <pic:blipFill>
                    <a:blip r:embed="rId110"/>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prime example of portfolio synergy. While Gold struggled with choppy price action (resulting in a drawdown), Silver decoupled and generated significant profit during the US session windows, effectively stabilizing the portfolio’s overall Net PnL.</w:t>
      </w:r>
    </w:p>
    <w:bookmarkEnd w:id="113"/>
    <w:bookmarkStart w:id="117" w:name="q3---out-of-sample"/>
    <w:p>
      <w:pPr>
        <w:pStyle w:val="Heading3"/>
      </w:pPr>
      <w:r>
        <w:t xml:space="preserve">2024Q3 - out of sample</w:t>
      </w:r>
    </w:p>
    <w:p>
      <w:pPr>
        <w:pStyle w:val="FirstParagraph"/>
      </w:pPr>
      <w:r>
        <w:drawing>
          <wp:inline>
            <wp:extent cx="5334000" cy="2943256"/>
            <wp:effectExtent b="0" l="0" r="0" t="0"/>
            <wp:docPr descr="" title="" id="115" name="Picture"/>
            <a:graphic>
              <a:graphicData uri="http://schemas.openxmlformats.org/drawingml/2006/picture">
                <pic:pic>
                  <pic:nvPicPr>
                    <pic:cNvPr descr="final_report_word_files/figure-docx/cell-24-output-1.png" id="116" name="Picture"/>
                    <pic:cNvPicPr>
                      <a:picLocks noChangeArrowheads="1" noChangeAspect="1"/>
                    </pic:cNvPicPr>
                  </pic:nvPicPr>
                  <pic:blipFill>
                    <a:blip r:embed="rId114"/>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After a slow start in July, the portfolio captured a clean, sustained uptrend beginning in August. The steady upward slope with minimal retracement indicates a high-quality trend where both the entry logic and the volatility filter were perfectly aligned with market conditions.</w:t>
      </w:r>
    </w:p>
    <w:bookmarkEnd w:id="117"/>
    <w:bookmarkStart w:id="121" w:name="q4-1"/>
    <w:p>
      <w:pPr>
        <w:pStyle w:val="Heading3"/>
      </w:pPr>
      <w:r>
        <w:t xml:space="preserve">2024Q4</w:t>
      </w:r>
    </w:p>
    <w:p>
      <w:pPr>
        <w:pStyle w:val="FirstParagraph"/>
      </w:pPr>
      <w:r>
        <w:drawing>
          <wp:inline>
            <wp:extent cx="5334000" cy="2914772"/>
            <wp:effectExtent b="0" l="0" r="0" t="0"/>
            <wp:docPr descr="" title="" id="119" name="Picture"/>
            <a:graphic>
              <a:graphicData uri="http://schemas.openxmlformats.org/drawingml/2006/picture">
                <pic:pic>
                  <pic:nvPicPr>
                    <pic:cNvPr descr="final_report_word_files/figure-docx/cell-25-output-1.png" id="120" name="Picture"/>
                    <pic:cNvPicPr>
                      <a:picLocks noChangeArrowheads="1" noChangeAspect="1"/>
                    </pic:cNvPicPr>
                  </pic:nvPicPr>
                  <pic:blipFill>
                    <a:blip r:embed="rId118"/>
                    <a:stretch>
                      <a:fillRect/>
                    </a:stretch>
                  </pic:blipFill>
                  <pic:spPr bwMode="auto">
                    <a:xfrm>
                      <a:off x="0" y="0"/>
                      <a:ext cx="5334000" cy="2914772"/>
                    </a:xfrm>
                    <a:prstGeom prst="rect">
                      <a:avLst/>
                    </a:prstGeom>
                    <a:noFill/>
                    <a:ln w="9525">
                      <a:noFill/>
                      <a:headEnd/>
                      <a:tailEnd/>
                    </a:ln>
                  </pic:spPr>
                </pic:pic>
              </a:graphicData>
            </a:graphic>
          </wp:inline>
        </w:drawing>
      </w:r>
    </w:p>
    <w:p>
      <w:pPr>
        <w:pStyle w:val="BodyText"/>
      </w:pPr>
      <w:r>
        <w:rPr>
          <w:b/>
          <w:bCs/>
        </w:rPr>
        <w:t xml:space="preserve">Comment</w:t>
      </w:r>
      <w:r>
        <w:t xml:space="preserve">: Exceptional performance (Highest PnL). The portfolio capitalized on a massive, unidirectional trend in Gold. The gap between Gross and Net PnL is minimal here, proving that the strategy’s wide windows (288 bars) successfully minimize turnover costs during strong trending regimes.</w:t>
      </w:r>
    </w:p>
    <w:bookmarkEnd w:id="121"/>
    <w:bookmarkStart w:id="125" w:name="q1-1"/>
    <w:p>
      <w:pPr>
        <w:pStyle w:val="Heading3"/>
      </w:pPr>
      <w:r>
        <w:t xml:space="preserve">2025Q1</w:t>
      </w:r>
    </w:p>
    <w:p>
      <w:pPr>
        <w:pStyle w:val="FirstParagraph"/>
      </w:pPr>
      <w:r>
        <w:drawing>
          <wp:inline>
            <wp:extent cx="5334000" cy="2943256"/>
            <wp:effectExtent b="0" l="0" r="0" t="0"/>
            <wp:docPr descr="" title="" id="123" name="Picture"/>
            <a:graphic>
              <a:graphicData uri="http://schemas.openxmlformats.org/drawingml/2006/picture">
                <pic:pic>
                  <pic:nvPicPr>
                    <pic:cNvPr descr="final_report_word_files/figure-docx/cell-26-output-1.png" id="124" name="Picture"/>
                    <pic:cNvPicPr>
                      <a:picLocks noChangeArrowheads="1" noChangeAspect="1"/>
                    </pic:cNvPicPr>
                  </pic:nvPicPr>
                  <pic:blipFill>
                    <a:blip r:embed="rId122"/>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 highly profitable but volatile quarter. After a strong initial trend in January, the strategy experienced a drawdown during a February correction, giving back open profits. However, the system successfully identified the trend resumption in March, recovering all losses and finishing the quarter near equity highs.</w:t>
      </w:r>
    </w:p>
    <w:bookmarkEnd w:id="125"/>
    <w:bookmarkStart w:id="129" w:name="q2-1"/>
    <w:p>
      <w:pPr>
        <w:pStyle w:val="Heading3"/>
      </w:pPr>
      <w:r>
        <w:t xml:space="preserve">2025Q2</w:t>
      </w:r>
    </w:p>
    <w:p>
      <w:pPr>
        <w:pStyle w:val="FirstParagraph"/>
      </w:pPr>
      <w:r>
        <w:drawing>
          <wp:inline>
            <wp:extent cx="5334000" cy="2910079"/>
            <wp:effectExtent b="0" l="0" r="0" t="0"/>
            <wp:docPr descr="" title="" id="127" name="Picture"/>
            <a:graphic>
              <a:graphicData uri="http://schemas.openxmlformats.org/drawingml/2006/picture">
                <pic:pic>
                  <pic:nvPicPr>
                    <pic:cNvPr descr="final_report_word_files/figure-docx/cell-27-output-1.png" id="128" name="Picture"/>
                    <pic:cNvPicPr>
                      <a:picLocks noChangeArrowheads="1" noChangeAspect="1"/>
                    </pic:cNvPicPr>
                  </pic:nvPicPr>
                  <pic:blipFill>
                    <a:blip r:embed="rId126"/>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Profitable but volatile. The strategy captured early gains but gave back profits during a late-quarter reversal. The system correctly adhered to stops, preventing a catastrophic reversal, though the Sharpe ratio was impacted by the late volatility.</w:t>
      </w:r>
    </w:p>
    <w:bookmarkEnd w:id="129"/>
    <w:bookmarkStart w:id="133" w:name="q3---out-of-sample-1"/>
    <w:p>
      <w:pPr>
        <w:pStyle w:val="Heading3"/>
      </w:pPr>
      <w:r>
        <w:t xml:space="preserve">2025Q3 - out of sample</w:t>
      </w:r>
    </w:p>
    <w:p>
      <w:pPr>
        <w:pStyle w:val="FirstParagraph"/>
      </w:pPr>
      <w:r>
        <w:drawing>
          <wp:inline>
            <wp:extent cx="5334000" cy="2910079"/>
            <wp:effectExtent b="0" l="0" r="0" t="0"/>
            <wp:docPr descr="" title="" id="131" name="Picture"/>
            <a:graphic>
              <a:graphicData uri="http://schemas.openxmlformats.org/drawingml/2006/picture">
                <pic:pic>
                  <pic:nvPicPr>
                    <pic:cNvPr descr="final_report_word_files/figure-docx/cell-28-output-1.png" id="132" name="Picture"/>
                    <pic:cNvPicPr>
                      <a:picLocks noChangeArrowheads="1" noChangeAspect="1"/>
                    </pic:cNvPicPr>
                  </pic:nvPicPr>
                  <pic:blipFill>
                    <a:blip r:embed="rId130"/>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challenging, volatile period. The equity curve shows significant two-way action, with a deep drawdown in mid-August followed by a sharp recovery in late September. While the quarter ended negative, the late-stage recovery demonstrates the strategy’s ability to react quickly when volatility returns.</w:t>
      </w:r>
    </w:p>
    <w:bookmarkEnd w:id="133"/>
    <w:bookmarkStart w:id="137" w:name="q4---out-of-sample"/>
    <w:p>
      <w:pPr>
        <w:pStyle w:val="Heading3"/>
      </w:pPr>
      <w:r>
        <w:t xml:space="preserve">2025Q4 - out of sample</w:t>
      </w:r>
    </w:p>
    <w:p>
      <w:pPr>
        <w:pStyle w:val="FirstParagraph"/>
      </w:pPr>
      <w:r>
        <w:drawing>
          <wp:inline>
            <wp:extent cx="5334000" cy="2836094"/>
            <wp:effectExtent b="0" l="0" r="0" t="0"/>
            <wp:docPr descr="" title="" id="135" name="Picture"/>
            <a:graphic>
              <a:graphicData uri="http://schemas.openxmlformats.org/drawingml/2006/picture">
                <pic:pic>
                  <pic:nvPicPr>
                    <pic:cNvPr descr="final_report_word_files/figure-docx/cell-29-output-1.png" id="136" name="Picture"/>
                    <pic:cNvPicPr>
                      <a:picLocks noChangeArrowheads="1" noChangeAspect="1"/>
                    </pic:cNvPicPr>
                  </pic:nvPicPr>
                  <pic:blipFill>
                    <a:blip r:embed="rId134"/>
                    <a:stretch>
                      <a:fillRect/>
                    </a:stretch>
                  </pic:blipFill>
                  <pic:spPr bwMode="auto">
                    <a:xfrm>
                      <a:off x="0" y="0"/>
                      <a:ext cx="5334000" cy="2836094"/>
                    </a:xfrm>
                    <a:prstGeom prst="rect">
                      <a:avLst/>
                    </a:prstGeom>
                    <a:noFill/>
                    <a:ln w="9525">
                      <a:noFill/>
                      <a:headEnd/>
                      <a:tailEnd/>
                    </a:ln>
                  </pic:spPr>
                </pic:pic>
              </a:graphicData>
            </a:graphic>
          </wp:inline>
        </w:drawing>
      </w:r>
    </w:p>
    <w:p>
      <w:pPr>
        <w:pStyle w:val="BodyText"/>
      </w:pPr>
      <w:r>
        <w:rPr>
          <w:b/>
          <w:bCs/>
        </w:rPr>
        <w:t xml:space="preserve">Comment</w:t>
      </w:r>
      <w:r>
        <w:t xml:space="preserve"> </w:t>
      </w:r>
      <w:r>
        <w:t xml:space="preserve">This quarter behaved similarly to 2024 Q4, with an immediate and sustained explosive trend. The strategy entered early in October and rode the momentum through the entire month, generating substantial profits ($22k+) with very little drawdown, proving the robustness of the logic in strong bull markets.</w:t>
      </w:r>
    </w:p>
    <w:bookmarkEnd w:id="137"/>
    <w:bookmarkEnd w:id="138"/>
    <w:bookmarkEnd w:id="139"/>
    <w:bookmarkStart w:id="142" w:name="summary-and-conclusions"/>
    <w:p>
      <w:pPr>
        <w:pStyle w:val="Heading1"/>
      </w:pPr>
      <w:r>
        <w:t xml:space="preserve">Summary and conclusions</w:t>
      </w:r>
    </w:p>
    <w:bookmarkStart w:id="140" w:name="group-1-1"/>
    <w:p>
      <w:pPr>
        <w:pStyle w:val="Heading2"/>
      </w:pPr>
      <w:r>
        <w:t xml:space="preserve">Group 1</w:t>
      </w:r>
    </w:p>
    <w:p>
      <w:pPr>
        <w:pStyle w:val="FirstParagraph"/>
      </w:pPr>
      <w:r>
        <w:t xml:space="preserve">Across the evaluated quarters, the Group 1 strategy demonstrates a clear</w:t>
      </w:r>
      <w:r>
        <w:t xml:space="preserve"> </w:t>
      </w:r>
      <w:r>
        <w:rPr>
          <w:b/>
          <w:bCs/>
        </w:rPr>
        <w:t xml:space="preserve">regime split</w:t>
      </w:r>
      <w:r>
        <w:t xml:space="preserve">: the NQ momentum breakout performs best when trends persist, while the SP mean‑reversion component performs best when prices oscillate around the slow EMA center.</w:t>
      </w:r>
      <w:r>
        <w:t xml:space="preserve"> </w:t>
      </w:r>
      <w:r>
        <w:t xml:space="preserve">This pairing reduces reliance on a single market condition and produces a more balanced behavior than applying one style universally.</w:t>
      </w:r>
      <w:r>
        <w:t xml:space="preserve"> </w:t>
      </w:r>
      <w:r>
        <w:t xml:space="preserve">However, the gross-to-net differences show that</w:t>
      </w:r>
      <w:r>
        <w:t xml:space="preserve"> </w:t>
      </w:r>
      <w:r>
        <w:rPr>
          <w:b/>
          <w:bCs/>
        </w:rPr>
        <w:t xml:space="preserve">cost assumptions are a key sensitivity</w:t>
      </w:r>
      <w:r>
        <w:t xml:space="preserve">, especially in lower-edge quarters when turnover remains non-trivial.</w:t>
      </w:r>
      <w:r>
        <w:t xml:space="preserve"> </w:t>
      </w:r>
      <w:r>
        <w:t xml:space="preserve">Overall, we consider the strategy to be</w:t>
      </w:r>
      <w:r>
        <w:t xml:space="preserve"> </w:t>
      </w:r>
      <w:r>
        <w:rPr>
          <w:b/>
          <w:bCs/>
        </w:rPr>
        <w:t xml:space="preserve">interpretable and economically plausible</w:t>
      </w:r>
      <w:r>
        <w:t xml:space="preserve"> </w:t>
      </w:r>
      <w:r>
        <w:t xml:space="preserve">on Group 1, provided that risk limits (drawdown control) and realistic execution/cost modeling are enforced.</w:t>
      </w:r>
    </w:p>
    <w:bookmarkEnd w:id="140"/>
    <w:bookmarkStart w:id="141" w:name="group-2-1"/>
    <w:p>
      <w:pPr>
        <w:pStyle w:val="Heading2"/>
      </w:pPr>
      <w:r>
        <w:t xml:space="preserve">Group 2</w:t>
      </w:r>
    </w:p>
    <w:p>
      <w:pPr>
        <w:pStyle w:val="FirstParagraph"/>
      </w:pPr>
      <w:r>
        <w:t xml:space="preserve">Our analysis of the metals complex led to the selection of a</w:t>
      </w:r>
      <w:r>
        <w:t xml:space="preserve"> </w:t>
      </w:r>
      <w:r>
        <w:rPr>
          <w:b/>
          <w:bCs/>
        </w:rPr>
        <w:t xml:space="preserve">Hybrid Volatility Breakout</w:t>
      </w:r>
      <w:r>
        <w:t xml:space="preserve"> </w:t>
      </w:r>
      <w:r>
        <w:t xml:space="preserve">strategy. The key findings are:</w:t>
      </w:r>
    </w:p>
    <w:p>
      <w:pPr>
        <w:pStyle w:val="Compact"/>
        <w:numPr>
          <w:ilvl w:val="0"/>
          <w:numId w:val="1025"/>
        </w:numPr>
      </w:pPr>
      <w:r>
        <w:rPr>
          <w:b/>
          <w:bCs/>
        </w:rPr>
        <w:t xml:space="preserve">Regime Separation:</w:t>
      </w:r>
      <w:r>
        <w:t xml:space="preserve"> </w:t>
      </w:r>
      <w:r>
        <w:t xml:space="preserve">Gold and Silver require different execution logic. Gold’s global liquidity supports a 24-hour trend-following approach, while Silver’s noise and high point-value risk necessitate a strict</w:t>
      </w:r>
      <w:r>
        <w:t xml:space="preserve"> </w:t>
      </w:r>
      <w:r>
        <w:t xml:space="preserve">“US-Session Only”</w:t>
      </w:r>
      <w:r>
        <w:t xml:space="preserve"> </w:t>
      </w:r>
      <w:r>
        <w:t xml:space="preserve">filter.</w:t>
      </w:r>
    </w:p>
    <w:p>
      <w:pPr>
        <w:pStyle w:val="Compact"/>
        <w:numPr>
          <w:ilvl w:val="0"/>
          <w:numId w:val="1025"/>
        </w:numPr>
      </w:pPr>
      <w:r>
        <w:rPr>
          <w:b/>
          <w:bCs/>
        </w:rPr>
        <w:t xml:space="preserve">Cost Management:</w:t>
      </w:r>
      <w:r>
        <w:t xml:space="preserve"> </w:t>
      </w:r>
      <w:r>
        <w:t xml:space="preserve">With fixed costs of $15 and $10 per trade, standard high-frequency signals fail. Extending lookback windows to 12h–24h was critical to increasing the average trade size enough to overcome the cost hurdle.</w:t>
      </w:r>
    </w:p>
    <w:p>
      <w:pPr>
        <w:pStyle w:val="Compact"/>
        <w:numPr>
          <w:ilvl w:val="0"/>
          <w:numId w:val="1025"/>
        </w:numPr>
      </w:pPr>
      <w:r>
        <w:rPr>
          <w:b/>
          <w:bCs/>
        </w:rPr>
        <w:t xml:space="preserve">Portfolio Resilience:</w:t>
      </w:r>
      <w:r>
        <w:t xml:space="preserve"> </w:t>
      </w:r>
      <w:r>
        <w:t xml:space="preserve">The combined strategy offers a robust profile. Gold provides the offensive capability to capture major trends, while Silver’s time-gating provides defensive diversification, often sitting out during periods of low-quality volatility.</w:t>
      </w:r>
    </w:p>
    <w:bookmarkEnd w:id="141"/>
    <w:bookmarkEnd w:id="14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hyperlink" Id="rId21" Target="functions/position_VB.py" TargetMode="External" /></Relationships>
</file>

<file path=word/_rels/footnotes.xml.rels><?xml version="1.0" encoding="UTF-8"?><Relationships xmlns="http://schemas.openxmlformats.org/package/2006/relationships"><Relationship Type="http://schemas.openxmlformats.org/officeDocument/2006/relationships/hyperlink" Id="rId21" Target="functions/position_VB.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strategies on High Frequency Data</dc:title>
  <dc:creator>Sujith Madesh and Kacper Mosoń</dc:creator>
  <cp:keywords/>
  <dcterms:created xsi:type="dcterms:W3CDTF">2026-01-25T01:35:49Z</dcterms:created>
  <dcterms:modified xsi:type="dcterms:W3CDTF">2026-01-25T01:35:49Z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Jan 24, 2026</vt:lpwstr>
  </property>
  <property fmtid="{D5CDD505-2E9C-101B-9397-08002B2CF9AE}" pid="6" name="date-format">
    <vt:lpwstr>MMM D, YYYY</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Final report</vt:lpwstr>
  </property>
  <property fmtid="{D5CDD505-2E9C-101B-9397-08002B2CF9AE}" pid="12" name="title-block-banner">
    <vt:lpwstr>True</vt:lpwstr>
  </property>
  <property fmtid="{D5CDD505-2E9C-101B-9397-08002B2CF9AE}" pid="13" name="toc-title">
    <vt:lpwstr>Table of contents</vt:lpwstr>
  </property>
</Properties>
</file>